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0E" w:rsidRDefault="006D380E" w:rsidP="006D380E">
      <w:pPr>
        <w:rPr>
          <w:rFonts w:ascii="Arial" w:hAnsi="Arial"/>
          <w:color w:val="auto"/>
        </w:rPr>
      </w:pPr>
    </w:p>
    <w:p w:rsidR="00422C3F" w:rsidRDefault="007A6521" w:rsidP="006D380E">
      <w:pPr>
        <w:ind w:firstLine="720"/>
        <w:rPr>
          <w:rFonts w:ascii="Arial" w:hAnsi="Arial"/>
          <w:color w:val="auto"/>
        </w:rPr>
      </w:pPr>
      <w:r w:rsidRPr="00B14C19">
        <w:rPr>
          <w:rFonts w:ascii="Arial" w:hAnsi="Arial"/>
          <w:color w:val="auto"/>
        </w:rPr>
        <w:t xml:space="preserve">Many states have consumer or patient privacy laws that are more stringent than HIPAA.  </w:t>
      </w:r>
      <w:r w:rsidR="009025D0" w:rsidRPr="00B14C19">
        <w:rPr>
          <w:rFonts w:ascii="Arial" w:hAnsi="Arial"/>
          <w:color w:val="auto"/>
        </w:rPr>
        <w:t xml:space="preserve">For example, while HIPAA has clear regulations for the disposal of protected health information kept in electronic formats, it does not have clear regulations for </w:t>
      </w:r>
      <w:r w:rsidR="00B14C19">
        <w:rPr>
          <w:rFonts w:ascii="Arial" w:hAnsi="Arial"/>
          <w:color w:val="auto"/>
        </w:rPr>
        <w:t xml:space="preserve">destruction of </w:t>
      </w:r>
      <w:r w:rsidR="009025D0" w:rsidRPr="00B14C19">
        <w:rPr>
          <w:rFonts w:ascii="Arial" w:hAnsi="Arial"/>
          <w:color w:val="auto"/>
        </w:rPr>
        <w:t xml:space="preserve">paper records.  We make this sample policies and procedures available to our </w:t>
      </w:r>
      <w:r w:rsidR="006D380E">
        <w:rPr>
          <w:rFonts w:ascii="Arial" w:hAnsi="Arial"/>
          <w:color w:val="auto"/>
        </w:rPr>
        <w:t>physician clients</w:t>
      </w:r>
      <w:r w:rsidR="009025D0" w:rsidRPr="00B14C19">
        <w:rPr>
          <w:rFonts w:ascii="Arial" w:hAnsi="Arial"/>
          <w:color w:val="auto"/>
        </w:rPr>
        <w:t xml:space="preserve"> to help them </w:t>
      </w:r>
      <w:r w:rsidR="00B14C19">
        <w:rPr>
          <w:rFonts w:ascii="Arial" w:hAnsi="Arial"/>
          <w:color w:val="auto"/>
        </w:rPr>
        <w:t>become aware of</w:t>
      </w:r>
      <w:r w:rsidR="009025D0" w:rsidRPr="00B14C19">
        <w:rPr>
          <w:rFonts w:ascii="Arial" w:hAnsi="Arial"/>
          <w:color w:val="auto"/>
        </w:rPr>
        <w:t xml:space="preserve"> privacy compliance </w:t>
      </w:r>
      <w:r w:rsidR="00B14C19">
        <w:rPr>
          <w:rFonts w:ascii="Arial" w:hAnsi="Arial"/>
          <w:color w:val="auto"/>
        </w:rPr>
        <w:t xml:space="preserve">obligations </w:t>
      </w:r>
      <w:r w:rsidR="009025D0" w:rsidRPr="00B14C19">
        <w:rPr>
          <w:rFonts w:ascii="Arial" w:hAnsi="Arial"/>
          <w:color w:val="auto"/>
        </w:rPr>
        <w:t xml:space="preserve">beyond HIPAA.  </w:t>
      </w:r>
      <w:r w:rsidR="00B14C19">
        <w:rPr>
          <w:rFonts w:ascii="Arial" w:hAnsi="Arial"/>
          <w:color w:val="auto"/>
        </w:rPr>
        <w:t>Please be advised that</w:t>
      </w:r>
      <w:r w:rsidR="009025D0" w:rsidRPr="00B14C19">
        <w:rPr>
          <w:rFonts w:ascii="Arial" w:hAnsi="Arial"/>
          <w:color w:val="auto"/>
        </w:rPr>
        <w:t xml:space="preserve"> t</w:t>
      </w:r>
      <w:r w:rsidRPr="00B14C19">
        <w:rPr>
          <w:rFonts w:ascii="Arial" w:hAnsi="Arial"/>
          <w:color w:val="auto"/>
        </w:rPr>
        <w:t xml:space="preserve">his guide is </w:t>
      </w:r>
      <w:r w:rsidR="009025D0" w:rsidRPr="00B14C19">
        <w:rPr>
          <w:rFonts w:ascii="Arial" w:hAnsi="Arial"/>
          <w:b/>
          <w:color w:val="auto"/>
          <w:u w:val="single"/>
        </w:rPr>
        <w:t xml:space="preserve">only </w:t>
      </w:r>
      <w:r w:rsidRPr="00B14C19">
        <w:rPr>
          <w:rFonts w:ascii="Arial" w:hAnsi="Arial"/>
          <w:b/>
          <w:color w:val="auto"/>
          <w:u w:val="single"/>
        </w:rPr>
        <w:t>a sample</w:t>
      </w:r>
      <w:r w:rsidRPr="00B14C19">
        <w:rPr>
          <w:rFonts w:ascii="Arial" w:hAnsi="Arial"/>
          <w:color w:val="auto"/>
        </w:rPr>
        <w:t xml:space="preserve">, </w:t>
      </w:r>
      <w:r w:rsidR="009025D0" w:rsidRPr="00B14C19">
        <w:rPr>
          <w:rFonts w:ascii="Arial" w:hAnsi="Arial"/>
          <w:color w:val="auto"/>
        </w:rPr>
        <w:t xml:space="preserve">so </w:t>
      </w:r>
      <w:r w:rsidRPr="00B14C19">
        <w:rPr>
          <w:rFonts w:ascii="Arial" w:hAnsi="Arial"/>
          <w:color w:val="auto"/>
        </w:rPr>
        <w:t xml:space="preserve">be sure to consult </w:t>
      </w:r>
      <w:r w:rsidR="00F526CC" w:rsidRPr="00B14C19">
        <w:rPr>
          <w:rFonts w:ascii="Arial" w:hAnsi="Arial"/>
          <w:color w:val="auto"/>
        </w:rPr>
        <w:t xml:space="preserve">with </w:t>
      </w:r>
      <w:r w:rsidRPr="00B14C19">
        <w:rPr>
          <w:rFonts w:ascii="Arial" w:hAnsi="Arial"/>
          <w:color w:val="auto"/>
        </w:rPr>
        <w:t xml:space="preserve">your attorney to ensure </w:t>
      </w:r>
      <w:r w:rsidR="00B14C19">
        <w:rPr>
          <w:rFonts w:ascii="Arial" w:hAnsi="Arial"/>
          <w:color w:val="auto"/>
        </w:rPr>
        <w:t xml:space="preserve">that </w:t>
      </w:r>
      <w:r w:rsidRPr="00B14C19">
        <w:rPr>
          <w:rFonts w:ascii="Arial" w:hAnsi="Arial"/>
          <w:color w:val="auto"/>
        </w:rPr>
        <w:t>the final policy you adopt is compliant with the laws of your state.</w:t>
      </w:r>
    </w:p>
    <w:p w:rsidR="00422C3F" w:rsidRDefault="00422C3F" w:rsidP="006D380E">
      <w:pPr>
        <w:ind w:firstLine="720"/>
        <w:rPr>
          <w:rFonts w:ascii="Arial" w:hAnsi="Arial"/>
          <w:color w:val="auto"/>
        </w:rPr>
      </w:pPr>
    </w:p>
    <w:p w:rsidR="006D380E" w:rsidRPr="00422C3F" w:rsidRDefault="00422C3F" w:rsidP="006D380E">
      <w:pPr>
        <w:ind w:firstLine="720"/>
        <w:rPr>
          <w:rFonts w:ascii="Arial" w:hAnsi="Arial"/>
          <w:i/>
          <w:color w:val="auto"/>
        </w:rPr>
      </w:pPr>
      <w:r w:rsidRPr="00422C3F">
        <w:rPr>
          <w:rFonts w:ascii="Arial" w:hAnsi="Arial"/>
          <w:i/>
          <w:color w:val="auto"/>
        </w:rPr>
        <w:t xml:space="preserve">Instructions: Read through the sample and choose the best policy for your practice.  Fields highlighted in </w:t>
      </w:r>
      <w:r w:rsidRPr="00422C3F">
        <w:rPr>
          <w:rFonts w:ascii="Arial" w:hAnsi="Arial"/>
          <w:i/>
          <w:color w:val="auto"/>
          <w:highlight w:val="green"/>
        </w:rPr>
        <w:t>green</w:t>
      </w:r>
      <w:r w:rsidRPr="00422C3F">
        <w:rPr>
          <w:rFonts w:ascii="Arial" w:hAnsi="Arial"/>
          <w:i/>
          <w:color w:val="auto"/>
        </w:rPr>
        <w:t xml:space="preserve"> indicate where edits or policy choices need to be made.</w:t>
      </w:r>
    </w:p>
    <w:p w:rsidR="007A6521" w:rsidRPr="00B212CA" w:rsidRDefault="00AA1F1E" w:rsidP="006D380E">
      <w:pPr>
        <w:rPr>
          <w:rFonts w:ascii="Arial" w:hAnsi="Arial"/>
        </w:rPr>
      </w:pPr>
      <w:r w:rsidRPr="00AA1F1E">
        <w:rPr>
          <w:rFonts w:ascii="Arial" w:hAnsi="Arial"/>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pt" o:hrpct="0" o:hralign="center" o:hr="t">
            <v:imagedata r:id="rId5" o:title="Default Line"/>
          </v:shape>
        </w:pict>
      </w:r>
    </w:p>
    <w:p w:rsidR="00422C3F" w:rsidRDefault="007A6521" w:rsidP="00B212CA">
      <w:pPr>
        <w:spacing w:line="360" w:lineRule="auto"/>
        <w:jc w:val="center"/>
        <w:rPr>
          <w:rFonts w:ascii="Zona Pro ExtraBold" w:hAnsi="Zona Pro ExtraBold"/>
          <w:color w:val="auto"/>
        </w:rPr>
      </w:pPr>
      <w:r w:rsidRPr="00B212CA">
        <w:rPr>
          <w:rFonts w:ascii="Zona Pro ExtraBold" w:hAnsi="Zona Pro ExtraBold"/>
          <w:color w:val="auto"/>
        </w:rPr>
        <w:t xml:space="preserve">SAMPLE POLICIES AND PROCEDURES FOR </w:t>
      </w:r>
    </w:p>
    <w:p w:rsidR="002913DF" w:rsidRPr="00B212CA" w:rsidRDefault="00B212CA" w:rsidP="00B212CA">
      <w:pPr>
        <w:spacing w:line="360" w:lineRule="auto"/>
        <w:jc w:val="center"/>
        <w:rPr>
          <w:rFonts w:ascii="Zona Pro ExtraBold" w:hAnsi="Zona Pro ExtraBold"/>
          <w:color w:val="auto"/>
        </w:rPr>
      </w:pPr>
      <w:r>
        <w:rPr>
          <w:rFonts w:ascii="Zona Pro ExtraBold" w:hAnsi="Zona Pro ExtraBold"/>
          <w:color w:val="auto"/>
        </w:rPr>
        <w:t>MANAGEMENT</w:t>
      </w:r>
      <w:r w:rsidR="00F526CC" w:rsidRPr="00B212CA">
        <w:rPr>
          <w:rFonts w:ascii="Zona Pro ExtraBold" w:hAnsi="Zona Pro ExtraBold"/>
          <w:color w:val="auto"/>
        </w:rPr>
        <w:t xml:space="preserve"> OF </w:t>
      </w:r>
      <w:r w:rsidR="007A6521" w:rsidRPr="00B212CA">
        <w:rPr>
          <w:rFonts w:ascii="Zona Pro ExtraBold" w:hAnsi="Zona Pro ExtraBold"/>
          <w:color w:val="auto"/>
        </w:rPr>
        <w:t xml:space="preserve">PERSONAL </w:t>
      </w:r>
      <w:r w:rsidR="00F526CC" w:rsidRPr="00B212CA">
        <w:rPr>
          <w:rFonts w:ascii="Zona Pro ExtraBold" w:hAnsi="Zona Pro ExtraBold"/>
          <w:color w:val="auto"/>
        </w:rPr>
        <w:t>PROTECTED INFORMATION</w:t>
      </w:r>
    </w:p>
    <w:p w:rsidR="007A6521" w:rsidRPr="00B14C19" w:rsidRDefault="002913DF" w:rsidP="00B212CA">
      <w:pPr>
        <w:spacing w:after="240"/>
        <w:jc w:val="center"/>
        <w:rPr>
          <w:rFonts w:ascii="Arial" w:hAnsi="Arial"/>
          <w:color w:val="auto"/>
        </w:rPr>
      </w:pPr>
      <w:r w:rsidRPr="00B14C19">
        <w:rPr>
          <w:rFonts w:ascii="Arial" w:hAnsi="Arial"/>
          <w:color w:val="auto"/>
        </w:rPr>
        <w:t>(</w:t>
      </w:r>
      <w:r w:rsidRPr="00B212CA">
        <w:rPr>
          <w:rFonts w:ascii="Arial" w:hAnsi="Arial"/>
          <w:i/>
          <w:color w:val="auto"/>
        </w:rPr>
        <w:t xml:space="preserve">Effective </w:t>
      </w:r>
      <w:r w:rsidRPr="00422C3F">
        <w:rPr>
          <w:rFonts w:ascii="Arial" w:hAnsi="Arial"/>
          <w:i/>
          <w:color w:val="auto"/>
        </w:rPr>
        <w:t>[</w:t>
      </w:r>
      <w:r w:rsidR="00422C3F">
        <w:rPr>
          <w:rFonts w:ascii="Arial" w:hAnsi="Arial"/>
          <w:i/>
          <w:color w:val="auto"/>
          <w:highlight w:val="green"/>
        </w:rPr>
        <w:t>D</w:t>
      </w:r>
      <w:r w:rsidRPr="00422C3F">
        <w:rPr>
          <w:rFonts w:ascii="Arial" w:hAnsi="Arial"/>
          <w:i/>
          <w:color w:val="auto"/>
          <w:highlight w:val="green"/>
        </w:rPr>
        <w:t>ate</w:t>
      </w:r>
      <w:r w:rsidRPr="00422C3F">
        <w:rPr>
          <w:rFonts w:ascii="Arial" w:hAnsi="Arial"/>
          <w:i/>
          <w:color w:val="auto"/>
        </w:rPr>
        <w:t>]</w:t>
      </w:r>
      <w:r w:rsidRPr="00B212CA">
        <w:rPr>
          <w:rFonts w:ascii="Arial" w:hAnsi="Arial"/>
          <w:i/>
          <w:color w:val="auto"/>
        </w:rPr>
        <w:t xml:space="preserve">, Revised </w:t>
      </w:r>
      <w:r w:rsidRPr="00422C3F">
        <w:rPr>
          <w:rFonts w:ascii="Arial" w:hAnsi="Arial"/>
          <w:i/>
          <w:color w:val="auto"/>
        </w:rPr>
        <w:t>[</w:t>
      </w:r>
      <w:r w:rsidR="00422C3F">
        <w:rPr>
          <w:rFonts w:ascii="Arial" w:hAnsi="Arial"/>
          <w:i/>
          <w:color w:val="auto"/>
          <w:highlight w:val="green"/>
        </w:rPr>
        <w:t>D</w:t>
      </w:r>
      <w:r w:rsidRPr="00422C3F">
        <w:rPr>
          <w:rFonts w:ascii="Arial" w:hAnsi="Arial"/>
          <w:i/>
          <w:color w:val="auto"/>
          <w:highlight w:val="green"/>
        </w:rPr>
        <w:t>ate</w:t>
      </w:r>
      <w:r w:rsidRPr="00422C3F">
        <w:rPr>
          <w:rFonts w:ascii="Arial" w:hAnsi="Arial"/>
          <w:i/>
          <w:color w:val="auto"/>
        </w:rPr>
        <w:t>]</w:t>
      </w:r>
      <w:r w:rsidRPr="00B14C19">
        <w:rPr>
          <w:rFonts w:ascii="Arial" w:hAnsi="Arial"/>
          <w:color w:val="auto"/>
        </w:rPr>
        <w:t>)</w:t>
      </w:r>
    </w:p>
    <w:p w:rsidR="007A6521" w:rsidRPr="00B14C19" w:rsidRDefault="00B212CA" w:rsidP="00B212CA">
      <w:pPr>
        <w:pStyle w:val="ListParagraph"/>
        <w:ind w:left="360"/>
        <w:rPr>
          <w:color w:val="auto"/>
        </w:rPr>
      </w:pPr>
      <w:r>
        <w:rPr>
          <w:color w:val="auto"/>
        </w:rPr>
        <w:t>For purposes of this policy &amp; p</w:t>
      </w:r>
      <w:r w:rsidR="007A6521" w:rsidRPr="00B14C19">
        <w:rPr>
          <w:color w:val="auto"/>
        </w:rPr>
        <w:t>rocedures, Protected Information (</w:t>
      </w:r>
      <w:r>
        <w:rPr>
          <w:color w:val="auto"/>
        </w:rPr>
        <w:t>“</w:t>
      </w:r>
      <w:r w:rsidR="007A6521" w:rsidRPr="00B14C19">
        <w:rPr>
          <w:color w:val="auto"/>
        </w:rPr>
        <w:t>PI</w:t>
      </w:r>
      <w:r>
        <w:rPr>
          <w:color w:val="auto"/>
        </w:rPr>
        <w:t>”</w:t>
      </w:r>
      <w:r w:rsidR="007A6521" w:rsidRPr="00B14C19">
        <w:rPr>
          <w:color w:val="auto"/>
        </w:rPr>
        <w:t>) includes, but may not be limited to:</w:t>
      </w:r>
      <w:r w:rsidR="00422C3F">
        <w:rPr>
          <w:color w:val="auto"/>
        </w:rPr>
        <w:t xml:space="preserve"> [</w:t>
      </w:r>
      <w:r w:rsidR="00422C3F">
        <w:rPr>
          <w:color w:val="auto"/>
          <w:highlight w:val="green"/>
        </w:rPr>
        <w:t>S</w:t>
      </w:r>
      <w:r w:rsidR="00422C3F" w:rsidRPr="00422C3F">
        <w:rPr>
          <w:color w:val="auto"/>
          <w:highlight w:val="green"/>
        </w:rPr>
        <w:t>elect all that apply.</w:t>
      </w:r>
      <w:r w:rsidR="00422C3F">
        <w:rPr>
          <w:color w:val="auto"/>
        </w:rPr>
        <w:t>]</w:t>
      </w:r>
    </w:p>
    <w:p w:rsidR="00B212CA" w:rsidRPr="00B212CA" w:rsidRDefault="00B212CA" w:rsidP="00B212CA">
      <w:pPr>
        <w:pStyle w:val="BodyText"/>
        <w:ind w:left="1080"/>
        <w:rPr>
          <w:rFonts w:ascii="Arial" w:hAnsi="Arial"/>
          <w:color w:val="auto"/>
        </w:rPr>
      </w:pPr>
      <w:r w:rsidRPr="00B212CA">
        <w:rPr>
          <w:rFonts w:ascii="Arial" w:hAnsi="Arial"/>
          <w:color w:val="auto"/>
        </w:rPr>
        <w:t>Biometric Data</w:t>
      </w:r>
    </w:p>
    <w:p w:rsidR="00B212CA" w:rsidRPr="00B212CA" w:rsidRDefault="00B212CA" w:rsidP="00B212CA">
      <w:pPr>
        <w:pStyle w:val="BodyText"/>
        <w:ind w:left="1080"/>
        <w:rPr>
          <w:rFonts w:ascii="Arial" w:hAnsi="Arial"/>
          <w:color w:val="auto"/>
        </w:rPr>
      </w:pPr>
      <w:r w:rsidRPr="00B212CA">
        <w:rPr>
          <w:rFonts w:ascii="Arial" w:hAnsi="Arial"/>
          <w:color w:val="auto"/>
        </w:rPr>
        <w:t>Driver’s License Numbers</w:t>
      </w:r>
    </w:p>
    <w:p w:rsidR="00B212CA" w:rsidRPr="00B212CA" w:rsidRDefault="00B212CA" w:rsidP="00B212CA">
      <w:pPr>
        <w:pStyle w:val="BodyText"/>
        <w:ind w:left="1080"/>
        <w:rPr>
          <w:rFonts w:ascii="Arial" w:hAnsi="Arial"/>
          <w:color w:val="auto"/>
        </w:rPr>
      </w:pPr>
      <w:r w:rsidRPr="00B212CA">
        <w:rPr>
          <w:rFonts w:ascii="Arial" w:hAnsi="Arial"/>
          <w:color w:val="auto"/>
        </w:rPr>
        <w:t>Employer, Student, or Military Identification Numbers</w:t>
      </w:r>
    </w:p>
    <w:p w:rsidR="00B212CA" w:rsidRPr="00B212CA" w:rsidRDefault="00B212CA" w:rsidP="00B212CA">
      <w:pPr>
        <w:pStyle w:val="BodyText"/>
        <w:ind w:left="1080"/>
        <w:rPr>
          <w:rFonts w:ascii="Arial" w:hAnsi="Arial"/>
          <w:color w:val="auto"/>
        </w:rPr>
      </w:pPr>
      <w:r w:rsidRPr="00B212CA">
        <w:rPr>
          <w:rFonts w:ascii="Arial" w:hAnsi="Arial"/>
          <w:color w:val="auto"/>
        </w:rPr>
        <w:t>Financial Account Numbers or other Financial Transaction Devices</w:t>
      </w:r>
    </w:p>
    <w:p w:rsidR="00B212CA" w:rsidRPr="00B212CA" w:rsidRDefault="00B212CA" w:rsidP="00B212CA">
      <w:pPr>
        <w:pStyle w:val="BodyText"/>
        <w:ind w:left="1080"/>
        <w:rPr>
          <w:rFonts w:ascii="Arial" w:hAnsi="Arial"/>
          <w:color w:val="auto"/>
        </w:rPr>
      </w:pPr>
      <w:r w:rsidRPr="00B212CA">
        <w:rPr>
          <w:rFonts w:ascii="Arial" w:hAnsi="Arial"/>
          <w:color w:val="auto"/>
        </w:rPr>
        <w:t>Government Issued Identification Card Numbers</w:t>
      </w:r>
    </w:p>
    <w:p w:rsidR="00B212CA" w:rsidRPr="00B212CA" w:rsidRDefault="00B212CA" w:rsidP="00B212CA">
      <w:pPr>
        <w:pStyle w:val="BodyText"/>
        <w:ind w:left="1080"/>
        <w:rPr>
          <w:rFonts w:ascii="Arial" w:hAnsi="Arial"/>
          <w:color w:val="auto"/>
        </w:rPr>
      </w:pPr>
      <w:r w:rsidRPr="00B212CA">
        <w:rPr>
          <w:rFonts w:ascii="Arial" w:hAnsi="Arial"/>
          <w:color w:val="auto"/>
        </w:rPr>
        <w:t>Other:</w:t>
      </w:r>
    </w:p>
    <w:p w:rsidR="00B212CA" w:rsidRPr="00B212CA" w:rsidRDefault="00B212CA" w:rsidP="00B212CA">
      <w:pPr>
        <w:pStyle w:val="BodyText"/>
        <w:ind w:left="1080"/>
        <w:rPr>
          <w:rFonts w:ascii="Arial" w:hAnsi="Arial"/>
          <w:color w:val="auto"/>
        </w:rPr>
      </w:pPr>
      <w:r w:rsidRPr="00B212CA">
        <w:rPr>
          <w:rFonts w:ascii="Arial" w:hAnsi="Arial"/>
          <w:color w:val="auto"/>
        </w:rPr>
        <w:t>Pass Codes</w:t>
      </w:r>
    </w:p>
    <w:p w:rsidR="00B212CA" w:rsidRPr="00B212CA" w:rsidRDefault="00B212CA" w:rsidP="00B212CA">
      <w:pPr>
        <w:pStyle w:val="BodyText"/>
        <w:ind w:left="1080"/>
        <w:rPr>
          <w:rFonts w:ascii="Arial" w:hAnsi="Arial"/>
          <w:color w:val="auto"/>
        </w:rPr>
      </w:pPr>
      <w:r w:rsidRPr="00B212CA">
        <w:rPr>
          <w:rFonts w:ascii="Arial" w:hAnsi="Arial"/>
          <w:color w:val="auto"/>
        </w:rPr>
        <w:t>Passport Numbers</w:t>
      </w:r>
    </w:p>
    <w:p w:rsidR="00B212CA" w:rsidRPr="00B212CA" w:rsidRDefault="00B212CA" w:rsidP="00B212CA">
      <w:pPr>
        <w:pStyle w:val="BodyText"/>
        <w:ind w:left="1080"/>
        <w:rPr>
          <w:rFonts w:ascii="Arial" w:hAnsi="Arial"/>
          <w:color w:val="auto"/>
        </w:rPr>
      </w:pPr>
      <w:r w:rsidRPr="00B212CA">
        <w:rPr>
          <w:rFonts w:ascii="Arial" w:hAnsi="Arial"/>
          <w:color w:val="auto"/>
        </w:rPr>
        <w:t>Passwords</w:t>
      </w:r>
    </w:p>
    <w:p w:rsidR="00B212CA" w:rsidRPr="00B212CA" w:rsidRDefault="00B212CA" w:rsidP="00B212CA">
      <w:pPr>
        <w:pStyle w:val="BodyText"/>
        <w:ind w:left="1080"/>
        <w:rPr>
          <w:rFonts w:ascii="Arial" w:hAnsi="Arial"/>
          <w:color w:val="auto"/>
        </w:rPr>
      </w:pPr>
      <w:r w:rsidRPr="00B212CA">
        <w:rPr>
          <w:rFonts w:ascii="Arial" w:hAnsi="Arial"/>
          <w:color w:val="auto"/>
        </w:rPr>
        <w:t>Personal Identification Numbers</w:t>
      </w:r>
    </w:p>
    <w:p w:rsidR="00B212CA" w:rsidRPr="00B212CA" w:rsidRDefault="00B212CA" w:rsidP="00B212CA">
      <w:pPr>
        <w:pStyle w:val="BodyText"/>
        <w:spacing w:after="240"/>
        <w:ind w:left="1080"/>
        <w:rPr>
          <w:rFonts w:ascii="Arial" w:hAnsi="Arial"/>
          <w:color w:val="auto"/>
        </w:rPr>
      </w:pPr>
      <w:r w:rsidRPr="00B212CA">
        <w:rPr>
          <w:rFonts w:ascii="Arial" w:hAnsi="Arial"/>
          <w:color w:val="auto"/>
        </w:rPr>
        <w:t>Social Security Numbers</w:t>
      </w:r>
    </w:p>
    <w:p w:rsidR="007A6521" w:rsidRPr="00B14C19" w:rsidRDefault="007A6521" w:rsidP="00B212CA">
      <w:pPr>
        <w:pStyle w:val="ListParagraph"/>
        <w:ind w:left="360"/>
        <w:rPr>
          <w:color w:val="auto"/>
        </w:rPr>
      </w:pPr>
      <w:r w:rsidRPr="00B14C19">
        <w:rPr>
          <w:color w:val="auto"/>
        </w:rPr>
        <w:t xml:space="preserve">Our office maintains </w:t>
      </w:r>
      <w:r w:rsidR="00B212CA">
        <w:rPr>
          <w:color w:val="auto"/>
        </w:rPr>
        <w:t>PI</w:t>
      </w:r>
      <w:r w:rsidRPr="00B14C19">
        <w:rPr>
          <w:color w:val="auto"/>
        </w:rPr>
        <w:t xml:space="preserve"> in the following formats:</w:t>
      </w:r>
      <w:r w:rsidR="00422C3F">
        <w:rPr>
          <w:color w:val="auto"/>
        </w:rPr>
        <w:t xml:space="preserve"> [</w:t>
      </w:r>
      <w:r w:rsidR="00422C3F">
        <w:rPr>
          <w:color w:val="auto"/>
          <w:highlight w:val="green"/>
        </w:rPr>
        <w:t>S</w:t>
      </w:r>
      <w:r w:rsidR="00422C3F" w:rsidRPr="00422C3F">
        <w:rPr>
          <w:color w:val="auto"/>
          <w:highlight w:val="green"/>
        </w:rPr>
        <w:t>elect all that apply.</w:t>
      </w:r>
      <w:r w:rsidR="00422C3F">
        <w:rPr>
          <w:color w:val="auto"/>
        </w:rPr>
        <w:t>]</w:t>
      </w:r>
    </w:p>
    <w:p w:rsidR="007A6521" w:rsidRPr="00B14C19" w:rsidRDefault="007A6521" w:rsidP="00B212CA">
      <w:pPr>
        <w:pStyle w:val="BodyText"/>
        <w:ind w:left="1080"/>
        <w:rPr>
          <w:rFonts w:ascii="Arial" w:hAnsi="Arial"/>
          <w:color w:val="auto"/>
        </w:rPr>
      </w:pPr>
      <w:r w:rsidRPr="00B14C19">
        <w:rPr>
          <w:rFonts w:ascii="Arial" w:hAnsi="Arial"/>
          <w:color w:val="auto"/>
        </w:rPr>
        <w:t>Paper records</w:t>
      </w:r>
    </w:p>
    <w:p w:rsidR="007A6521" w:rsidRPr="00B14C19" w:rsidRDefault="007A6521" w:rsidP="00B212CA">
      <w:pPr>
        <w:pStyle w:val="BodyText"/>
        <w:ind w:left="1080"/>
        <w:rPr>
          <w:rFonts w:ascii="Arial" w:hAnsi="Arial"/>
          <w:color w:val="auto"/>
        </w:rPr>
      </w:pPr>
      <w:r w:rsidRPr="00B14C19">
        <w:rPr>
          <w:rFonts w:ascii="Arial" w:hAnsi="Arial"/>
          <w:color w:val="auto"/>
        </w:rPr>
        <w:t>Electronic records</w:t>
      </w:r>
    </w:p>
    <w:p w:rsidR="007A6521" w:rsidRPr="00B14C19" w:rsidRDefault="007A6521" w:rsidP="00B212CA">
      <w:pPr>
        <w:pStyle w:val="BodyText"/>
        <w:ind w:left="1080"/>
        <w:rPr>
          <w:rFonts w:ascii="Arial" w:hAnsi="Arial"/>
          <w:color w:val="auto"/>
        </w:rPr>
      </w:pPr>
      <w:r w:rsidRPr="00B14C19">
        <w:rPr>
          <w:rFonts w:ascii="Arial" w:hAnsi="Arial"/>
          <w:color w:val="auto"/>
        </w:rPr>
        <w:t>Other digital formats</w:t>
      </w:r>
      <w:r w:rsidR="00422C3F">
        <w:rPr>
          <w:rFonts w:ascii="Arial" w:hAnsi="Arial"/>
          <w:color w:val="auto"/>
        </w:rPr>
        <w:t xml:space="preserve"> such as</w:t>
      </w:r>
      <w:r w:rsidRPr="00B14C19">
        <w:rPr>
          <w:rFonts w:ascii="Arial" w:hAnsi="Arial"/>
          <w:color w:val="auto"/>
        </w:rPr>
        <w:t>:</w:t>
      </w:r>
    </w:p>
    <w:p w:rsidR="007A6521" w:rsidRPr="00B14C19" w:rsidRDefault="007A6521" w:rsidP="00B212CA">
      <w:pPr>
        <w:pStyle w:val="BodyText"/>
        <w:ind w:left="1080"/>
        <w:rPr>
          <w:rFonts w:ascii="Arial" w:hAnsi="Arial"/>
          <w:color w:val="auto"/>
        </w:rPr>
      </w:pPr>
      <w:r w:rsidRPr="00B14C19">
        <w:rPr>
          <w:rFonts w:ascii="Arial" w:hAnsi="Arial"/>
          <w:color w:val="auto"/>
        </w:rPr>
        <w:t>Other:</w:t>
      </w:r>
    </w:p>
    <w:p w:rsidR="002F0EE8" w:rsidRPr="00422C3F" w:rsidRDefault="00B212CA" w:rsidP="00B212CA">
      <w:pPr>
        <w:pStyle w:val="ListParagraph"/>
        <w:ind w:left="360"/>
        <w:rPr>
          <w:color w:val="auto"/>
        </w:rPr>
      </w:pPr>
      <w:r>
        <w:rPr>
          <w:color w:val="auto"/>
        </w:rPr>
        <w:t xml:space="preserve">Our office </w:t>
      </w:r>
      <w:r w:rsidR="009025D0" w:rsidRPr="00B14C19">
        <w:rPr>
          <w:color w:val="auto"/>
        </w:rPr>
        <w:t xml:space="preserve">policy </w:t>
      </w:r>
      <w:r>
        <w:rPr>
          <w:color w:val="auto"/>
        </w:rPr>
        <w:t>is</w:t>
      </w:r>
      <w:r w:rsidR="009025D0" w:rsidRPr="00B14C19">
        <w:rPr>
          <w:color w:val="auto"/>
        </w:rPr>
        <w:t xml:space="preserve"> to take reasonable se</w:t>
      </w:r>
      <w:r w:rsidR="002F0EE8" w:rsidRPr="00B14C19">
        <w:rPr>
          <w:color w:val="auto"/>
        </w:rPr>
        <w:t>curity measures to protect PI.</w:t>
      </w:r>
      <w:r>
        <w:rPr>
          <w:color w:val="auto"/>
        </w:rPr>
        <w:t xml:space="preserve"> </w:t>
      </w:r>
      <w:r w:rsidR="00422C3F" w:rsidRPr="00422C3F">
        <w:rPr>
          <w:color w:val="auto"/>
        </w:rPr>
        <w:t>[</w:t>
      </w:r>
      <w:r w:rsidR="00422C3F">
        <w:rPr>
          <w:color w:val="auto"/>
          <w:highlight w:val="green"/>
        </w:rPr>
        <w:t>D</w:t>
      </w:r>
      <w:r w:rsidR="00422C3F" w:rsidRPr="00422C3F">
        <w:rPr>
          <w:color w:val="auto"/>
          <w:highlight w:val="green"/>
        </w:rPr>
        <w:t xml:space="preserve">ecide whether you prefer to </w:t>
      </w:r>
      <w:r w:rsidR="00422C3F">
        <w:rPr>
          <w:color w:val="auto"/>
          <w:highlight w:val="green"/>
        </w:rPr>
        <w:t>(1) outsource security or (2) provide your own security</w:t>
      </w:r>
      <w:r w:rsidR="00422C3F" w:rsidRPr="00422C3F">
        <w:rPr>
          <w:color w:val="auto"/>
          <w:highlight w:val="green"/>
        </w:rPr>
        <w:t xml:space="preserve">; </w:t>
      </w:r>
      <w:r w:rsidRPr="00422C3F">
        <w:rPr>
          <w:color w:val="auto"/>
          <w:highlight w:val="green"/>
        </w:rPr>
        <w:t>pick one option based on the size and nature of your business</w:t>
      </w:r>
      <w:r w:rsidR="00422C3F" w:rsidRPr="00422C3F">
        <w:rPr>
          <w:color w:val="auto"/>
          <w:highlight w:val="green"/>
        </w:rPr>
        <w:t>.  If you choose to provide your own</w:t>
      </w:r>
      <w:r w:rsidR="00422C3F">
        <w:rPr>
          <w:color w:val="auto"/>
          <w:highlight w:val="green"/>
        </w:rPr>
        <w:t xml:space="preserve"> security</w:t>
      </w:r>
      <w:r w:rsidR="00422C3F" w:rsidRPr="00422C3F">
        <w:rPr>
          <w:color w:val="auto"/>
          <w:highlight w:val="green"/>
        </w:rPr>
        <w:t>, choose one of the options indicated in that field.</w:t>
      </w:r>
      <w:r w:rsidR="00422C3F" w:rsidRPr="00422C3F">
        <w:rPr>
          <w:color w:val="auto"/>
        </w:rPr>
        <w:t>]</w:t>
      </w:r>
    </w:p>
    <w:p w:rsidR="00422C3F" w:rsidRDefault="00422C3F" w:rsidP="00B212CA">
      <w:pPr>
        <w:pStyle w:val="BodyText"/>
        <w:ind w:left="1080"/>
        <w:rPr>
          <w:rFonts w:ascii="Arial" w:hAnsi="Arial"/>
          <w:color w:val="auto"/>
        </w:rPr>
      </w:pPr>
      <w:r w:rsidRPr="00B14C19">
        <w:rPr>
          <w:rFonts w:ascii="Arial" w:hAnsi="Arial"/>
          <w:color w:val="auto"/>
        </w:rPr>
        <w:t>Based on the size and nature of our business, we elect to engage the following third-party service provider:</w:t>
      </w:r>
      <w:r>
        <w:rPr>
          <w:rFonts w:ascii="Arial" w:hAnsi="Arial"/>
          <w:color w:val="auto"/>
        </w:rPr>
        <w:t xml:space="preserve"> </w:t>
      </w:r>
      <w:r w:rsidRPr="00422C3F">
        <w:rPr>
          <w:rFonts w:ascii="Arial" w:hAnsi="Arial"/>
          <w:color w:val="auto"/>
          <w:highlight w:val="green"/>
        </w:rPr>
        <w:t>________________________________</w:t>
      </w:r>
    </w:p>
    <w:p w:rsidR="00422C3F" w:rsidRDefault="00422C3F" w:rsidP="00422C3F">
      <w:pPr>
        <w:pStyle w:val="BodyText"/>
        <w:numPr>
          <w:ilvl w:val="0"/>
          <w:numId w:val="0"/>
        </w:numPr>
        <w:ind w:left="1080"/>
        <w:rPr>
          <w:rFonts w:ascii="Arial" w:hAnsi="Arial"/>
          <w:color w:val="auto"/>
        </w:rPr>
      </w:pPr>
      <w:r w:rsidRPr="00B14C19">
        <w:rPr>
          <w:rFonts w:ascii="Arial" w:hAnsi="Arial"/>
          <w:color w:val="auto"/>
        </w:rPr>
        <w:t>Our office requires that this provider shall ensure that it implements and maintains reasonable security procedures and practices that are (1) appro</w:t>
      </w:r>
      <w:r>
        <w:rPr>
          <w:rFonts w:ascii="Arial" w:hAnsi="Arial"/>
          <w:color w:val="auto"/>
        </w:rPr>
        <w:t>priate to the natu</w:t>
      </w:r>
      <w:r w:rsidRPr="00B14C19">
        <w:rPr>
          <w:rFonts w:ascii="Arial" w:hAnsi="Arial"/>
          <w:color w:val="auto"/>
        </w:rPr>
        <w:t>re of the PI; and (2) reasonably designed to help protect the PI from unauthorized access, use, modification, disclosure, or destruction.</w:t>
      </w:r>
    </w:p>
    <w:p w:rsidR="00422C3F" w:rsidRPr="00422C3F" w:rsidRDefault="00422C3F" w:rsidP="00422C3F">
      <w:pPr>
        <w:pStyle w:val="BodyText"/>
        <w:numPr>
          <w:ilvl w:val="0"/>
          <w:numId w:val="0"/>
        </w:numPr>
        <w:rPr>
          <w:rFonts w:ascii="Arial" w:hAnsi="Arial"/>
          <w:b/>
          <w:i/>
          <w:color w:val="auto"/>
          <w:u w:val="single"/>
        </w:rPr>
      </w:pPr>
      <w:r w:rsidRPr="00422C3F">
        <w:rPr>
          <w:rFonts w:ascii="Arial" w:hAnsi="Arial"/>
          <w:b/>
          <w:i/>
          <w:color w:val="auto"/>
          <w:highlight w:val="green"/>
          <w:u w:val="single"/>
        </w:rPr>
        <w:t>ALTERNATIVELY</w:t>
      </w:r>
    </w:p>
    <w:p w:rsidR="004834A7" w:rsidRPr="00B14C19" w:rsidRDefault="009025D0" w:rsidP="00B212CA">
      <w:pPr>
        <w:pStyle w:val="BodyText"/>
        <w:ind w:left="1080"/>
        <w:rPr>
          <w:rFonts w:ascii="Arial" w:hAnsi="Arial"/>
          <w:color w:val="auto"/>
        </w:rPr>
      </w:pPr>
      <w:r w:rsidRPr="00B14C19">
        <w:rPr>
          <w:rFonts w:ascii="Arial" w:hAnsi="Arial"/>
          <w:color w:val="auto"/>
        </w:rPr>
        <w:t xml:space="preserve">Based on the size and nature of our </w:t>
      </w:r>
      <w:r w:rsidR="002F0EE8" w:rsidRPr="00B14C19">
        <w:rPr>
          <w:rFonts w:ascii="Arial" w:hAnsi="Arial"/>
          <w:color w:val="auto"/>
        </w:rPr>
        <w:t>business</w:t>
      </w:r>
      <w:r w:rsidRPr="00B14C19">
        <w:rPr>
          <w:rFonts w:ascii="Arial" w:hAnsi="Arial"/>
          <w:color w:val="auto"/>
        </w:rPr>
        <w:t xml:space="preserve">, we </w:t>
      </w:r>
      <w:r w:rsidR="004834A7" w:rsidRPr="00B14C19">
        <w:rPr>
          <w:rFonts w:ascii="Arial" w:hAnsi="Arial"/>
          <w:color w:val="auto"/>
        </w:rPr>
        <w:t xml:space="preserve">elect to provide our own PI security protection including technical controls that are reasonably designed to </w:t>
      </w:r>
      <w:r w:rsidRPr="00B14C19">
        <w:rPr>
          <w:rFonts w:ascii="Arial" w:hAnsi="Arial"/>
          <w:color w:val="auto"/>
        </w:rPr>
        <w:t xml:space="preserve">enact the following </w:t>
      </w:r>
      <w:r w:rsidR="002F0EE8" w:rsidRPr="00B14C19">
        <w:rPr>
          <w:rFonts w:ascii="Arial" w:hAnsi="Arial"/>
          <w:color w:val="auto"/>
        </w:rPr>
        <w:t xml:space="preserve">security </w:t>
      </w:r>
      <w:r w:rsidRPr="00B14C19">
        <w:rPr>
          <w:rFonts w:ascii="Arial" w:hAnsi="Arial"/>
          <w:color w:val="auto"/>
        </w:rPr>
        <w:t>measures</w:t>
      </w:r>
      <w:r w:rsidR="002F0EE8" w:rsidRPr="00B14C19">
        <w:rPr>
          <w:rFonts w:ascii="Arial" w:hAnsi="Arial"/>
          <w:color w:val="auto"/>
        </w:rPr>
        <w:t xml:space="preserve"> in our office</w:t>
      </w:r>
      <w:r w:rsidRPr="00B14C19">
        <w:rPr>
          <w:rFonts w:ascii="Arial" w:hAnsi="Arial"/>
          <w:color w:val="auto"/>
        </w:rPr>
        <w:t>:</w:t>
      </w:r>
    </w:p>
    <w:p w:rsidR="004834A7" w:rsidRPr="00B14C19" w:rsidRDefault="004834A7" w:rsidP="00B212CA">
      <w:pPr>
        <w:pStyle w:val="BodyText"/>
        <w:ind w:left="1440"/>
        <w:rPr>
          <w:rFonts w:ascii="Arial" w:hAnsi="Arial"/>
          <w:color w:val="auto"/>
        </w:rPr>
      </w:pPr>
      <w:proofErr w:type="gramStart"/>
      <w:r w:rsidRPr="00B14C19">
        <w:rPr>
          <w:rFonts w:ascii="Arial" w:hAnsi="Arial"/>
          <w:color w:val="auto"/>
        </w:rPr>
        <w:t>help</w:t>
      </w:r>
      <w:proofErr w:type="gramEnd"/>
      <w:r w:rsidRPr="00B14C19">
        <w:rPr>
          <w:rFonts w:ascii="Arial" w:hAnsi="Arial"/>
          <w:color w:val="auto"/>
        </w:rPr>
        <w:t xml:space="preserve"> protect the PI from unauthorized access, use, modification, disclosure, or destruction; </w:t>
      </w:r>
      <w:r w:rsidRPr="00422C3F">
        <w:rPr>
          <w:rFonts w:ascii="Arial" w:hAnsi="Arial"/>
          <w:b/>
          <w:i/>
          <w:color w:val="auto"/>
          <w:highlight w:val="green"/>
          <w:u w:val="single"/>
        </w:rPr>
        <w:t>OR</w:t>
      </w:r>
    </w:p>
    <w:p w:rsidR="002913DF" w:rsidRPr="00B14C19" w:rsidRDefault="004834A7" w:rsidP="00B212CA">
      <w:pPr>
        <w:pStyle w:val="BodyText"/>
        <w:ind w:left="1440"/>
        <w:rPr>
          <w:rFonts w:ascii="Arial" w:hAnsi="Arial"/>
          <w:color w:val="auto"/>
        </w:rPr>
      </w:pPr>
      <w:proofErr w:type="gramStart"/>
      <w:r w:rsidRPr="00B14C19">
        <w:rPr>
          <w:rFonts w:ascii="Arial" w:hAnsi="Arial"/>
          <w:color w:val="auto"/>
        </w:rPr>
        <w:t>effectively</w:t>
      </w:r>
      <w:proofErr w:type="gramEnd"/>
      <w:r w:rsidRPr="00B14C19">
        <w:rPr>
          <w:rFonts w:ascii="Arial" w:hAnsi="Arial"/>
          <w:color w:val="auto"/>
        </w:rPr>
        <w:t xml:space="preserve"> eliminate the ability of a third-party </w:t>
      </w:r>
      <w:r w:rsidR="002913DF" w:rsidRPr="00B14C19">
        <w:rPr>
          <w:rFonts w:ascii="Arial" w:hAnsi="Arial"/>
          <w:color w:val="auto"/>
        </w:rPr>
        <w:t>to access the PI, notwithstanding the third-party’s physical possession of the PI.</w:t>
      </w:r>
    </w:p>
    <w:p w:rsidR="009025D0" w:rsidRPr="00422C3F" w:rsidRDefault="002913DF" w:rsidP="00422C3F">
      <w:pPr>
        <w:pStyle w:val="BodyText"/>
        <w:numPr>
          <w:ilvl w:val="0"/>
          <w:numId w:val="0"/>
        </w:numPr>
        <w:spacing w:after="240"/>
        <w:ind w:left="720"/>
        <w:rPr>
          <w:rFonts w:ascii="Arial" w:hAnsi="Arial"/>
          <w:color w:val="auto"/>
        </w:rPr>
      </w:pPr>
      <w:r w:rsidRPr="00B14C19">
        <w:rPr>
          <w:rFonts w:ascii="Arial" w:hAnsi="Arial"/>
          <w:color w:val="auto"/>
        </w:rPr>
        <w:t>These technical controls include, but may not be limited to, the following:</w:t>
      </w:r>
      <w:r w:rsidR="00B212CA">
        <w:rPr>
          <w:rFonts w:ascii="Arial" w:hAnsi="Arial"/>
          <w:color w:val="auto"/>
        </w:rPr>
        <w:t xml:space="preserve"> </w:t>
      </w:r>
      <w:r w:rsidR="00B212CA" w:rsidRPr="00422C3F">
        <w:rPr>
          <w:rFonts w:ascii="Arial" w:hAnsi="Arial"/>
          <w:color w:val="auto"/>
          <w:highlight w:val="green"/>
        </w:rPr>
        <w:t>________________________________________________________________</w:t>
      </w:r>
    </w:p>
    <w:p w:rsidR="002F0EE8" w:rsidRPr="00B212CA" w:rsidRDefault="007A6521" w:rsidP="00B212CA">
      <w:pPr>
        <w:pStyle w:val="ListParagraph"/>
        <w:spacing w:after="240"/>
        <w:ind w:left="360"/>
        <w:rPr>
          <w:color w:val="auto"/>
        </w:rPr>
      </w:pPr>
      <w:r w:rsidRPr="00B212CA">
        <w:rPr>
          <w:color w:val="auto"/>
        </w:rPr>
        <w:t xml:space="preserve">It is the policy of our office to destroy or otherwise dispose of PI </w:t>
      </w:r>
      <w:r w:rsidR="002F0EE8" w:rsidRPr="00B212CA">
        <w:rPr>
          <w:color w:val="auto"/>
        </w:rPr>
        <w:t>when it is no longer needed.  PI is determined to be no longer needed when:</w:t>
      </w:r>
      <w:r w:rsidR="00B212CA">
        <w:rPr>
          <w:color w:val="auto"/>
        </w:rPr>
        <w:t xml:space="preserve"> </w:t>
      </w:r>
      <w:r w:rsidR="00B212CA" w:rsidRPr="00422C3F">
        <w:rPr>
          <w:color w:val="auto"/>
          <w:highlight w:val="green"/>
        </w:rPr>
        <w:t>______________________</w:t>
      </w:r>
    </w:p>
    <w:p w:rsidR="009025D0" w:rsidRPr="00B14C19" w:rsidRDefault="002F0EE8" w:rsidP="00B212CA">
      <w:pPr>
        <w:pStyle w:val="ListParagraph"/>
        <w:ind w:left="360"/>
        <w:rPr>
          <w:color w:val="auto"/>
        </w:rPr>
      </w:pPr>
      <w:r w:rsidRPr="00B14C19">
        <w:rPr>
          <w:color w:val="auto"/>
        </w:rPr>
        <w:t>Upon determination that disposal is appropriate, t</w:t>
      </w:r>
      <w:r w:rsidR="009025D0" w:rsidRPr="00B14C19">
        <w:rPr>
          <w:color w:val="auto"/>
        </w:rPr>
        <w:t>he procedure to effectuate this policy is as follows:</w:t>
      </w:r>
    </w:p>
    <w:p w:rsidR="002F0EE8" w:rsidRPr="00B14C19" w:rsidRDefault="002F0EE8" w:rsidP="00B212CA">
      <w:pPr>
        <w:pStyle w:val="ListParagraph"/>
        <w:numPr>
          <w:ilvl w:val="1"/>
          <w:numId w:val="5"/>
        </w:numPr>
        <w:ind w:left="720"/>
        <w:rPr>
          <w:color w:val="auto"/>
        </w:rPr>
      </w:pPr>
      <w:r w:rsidRPr="00B14C19">
        <w:rPr>
          <w:color w:val="auto"/>
        </w:rPr>
        <w:t>Paper records are to be</w:t>
      </w:r>
      <w:r w:rsidR="00B212CA">
        <w:rPr>
          <w:color w:val="auto"/>
        </w:rPr>
        <w:t>:</w:t>
      </w:r>
      <w:r w:rsidR="00422C3F">
        <w:rPr>
          <w:color w:val="auto"/>
        </w:rPr>
        <w:t xml:space="preserve"> [</w:t>
      </w:r>
      <w:r w:rsidR="00422C3F">
        <w:rPr>
          <w:color w:val="auto"/>
          <w:highlight w:val="green"/>
        </w:rPr>
        <w:t>S</w:t>
      </w:r>
      <w:r w:rsidR="00422C3F" w:rsidRPr="00422C3F">
        <w:rPr>
          <w:color w:val="auto"/>
          <w:highlight w:val="green"/>
        </w:rPr>
        <w:t>elect all that apply.</w:t>
      </w:r>
      <w:r w:rsidR="00422C3F">
        <w:rPr>
          <w:color w:val="auto"/>
        </w:rPr>
        <w:t>]</w:t>
      </w:r>
    </w:p>
    <w:p w:rsidR="002F0EE8" w:rsidRPr="00B14C19" w:rsidRDefault="002F0EE8" w:rsidP="00B212CA">
      <w:pPr>
        <w:pStyle w:val="BodyText"/>
        <w:ind w:left="1080"/>
        <w:rPr>
          <w:rFonts w:ascii="Arial" w:hAnsi="Arial"/>
          <w:color w:val="auto"/>
        </w:rPr>
      </w:pPr>
      <w:r w:rsidRPr="00B14C19">
        <w:rPr>
          <w:rFonts w:ascii="Arial" w:hAnsi="Arial"/>
          <w:color w:val="auto"/>
        </w:rPr>
        <w:t>Shredded in office</w:t>
      </w:r>
    </w:p>
    <w:p w:rsidR="009025D0" w:rsidRPr="00B14C19" w:rsidRDefault="002F0EE8" w:rsidP="00B212CA">
      <w:pPr>
        <w:pStyle w:val="BodyText"/>
        <w:ind w:left="1080"/>
        <w:rPr>
          <w:rFonts w:ascii="Arial" w:hAnsi="Arial"/>
          <w:color w:val="auto"/>
        </w:rPr>
      </w:pPr>
      <w:r w:rsidRPr="00B14C19">
        <w:rPr>
          <w:rFonts w:ascii="Arial" w:hAnsi="Arial"/>
          <w:color w:val="auto"/>
        </w:rPr>
        <w:t>Destroyed by a recycler or disposal firm contractually obligated to verify that the PI has been properly destroyed or disposed of commensurate with state law.</w:t>
      </w:r>
    </w:p>
    <w:p w:rsidR="002F0EE8" w:rsidRPr="00B14C19" w:rsidRDefault="002F0EE8" w:rsidP="00B212CA">
      <w:pPr>
        <w:pStyle w:val="ListParagraph"/>
        <w:numPr>
          <w:ilvl w:val="1"/>
          <w:numId w:val="5"/>
        </w:numPr>
        <w:ind w:left="720"/>
        <w:rPr>
          <w:color w:val="auto"/>
        </w:rPr>
      </w:pPr>
      <w:r w:rsidRPr="00B14C19">
        <w:rPr>
          <w:color w:val="auto"/>
        </w:rPr>
        <w:t>Electronic records are to be:</w:t>
      </w:r>
      <w:r w:rsidR="00422C3F">
        <w:rPr>
          <w:color w:val="auto"/>
        </w:rPr>
        <w:t xml:space="preserve"> [</w:t>
      </w:r>
      <w:r w:rsidR="00422C3F">
        <w:rPr>
          <w:color w:val="auto"/>
          <w:highlight w:val="green"/>
        </w:rPr>
        <w:t>S</w:t>
      </w:r>
      <w:r w:rsidR="00422C3F" w:rsidRPr="00422C3F">
        <w:rPr>
          <w:color w:val="auto"/>
          <w:highlight w:val="green"/>
        </w:rPr>
        <w:t>elect all that apply.</w:t>
      </w:r>
      <w:r w:rsidR="00422C3F">
        <w:rPr>
          <w:color w:val="auto"/>
        </w:rPr>
        <w:t>]</w:t>
      </w:r>
    </w:p>
    <w:p w:rsidR="002F0EE8" w:rsidRPr="00B14C19" w:rsidRDefault="002F0EE8" w:rsidP="00B212CA">
      <w:pPr>
        <w:pStyle w:val="BodyText"/>
        <w:ind w:left="1080"/>
        <w:rPr>
          <w:rFonts w:ascii="Arial" w:hAnsi="Arial"/>
          <w:color w:val="auto"/>
        </w:rPr>
      </w:pPr>
      <w:r w:rsidRPr="00B14C19">
        <w:rPr>
          <w:rFonts w:ascii="Arial" w:hAnsi="Arial"/>
          <w:color w:val="auto"/>
        </w:rPr>
        <w:t>Erased</w:t>
      </w:r>
    </w:p>
    <w:p w:rsidR="002F0EE8" w:rsidRPr="00B14C19" w:rsidRDefault="00422C3F" w:rsidP="00B212CA">
      <w:pPr>
        <w:pStyle w:val="BodyText"/>
        <w:ind w:left="1080"/>
        <w:rPr>
          <w:rFonts w:ascii="Arial" w:hAnsi="Arial"/>
          <w:color w:val="auto"/>
        </w:rPr>
      </w:pPr>
      <w:r>
        <w:rPr>
          <w:rFonts w:ascii="Arial" w:hAnsi="Arial"/>
          <w:color w:val="auto"/>
        </w:rPr>
        <w:t xml:space="preserve">Modified such that </w:t>
      </w:r>
      <w:r w:rsidR="00B212CA">
        <w:rPr>
          <w:rFonts w:ascii="Arial" w:hAnsi="Arial"/>
          <w:color w:val="auto"/>
        </w:rPr>
        <w:t>PI is d</w:t>
      </w:r>
      <w:r w:rsidR="002F0EE8" w:rsidRPr="00B14C19">
        <w:rPr>
          <w:rFonts w:ascii="Arial" w:hAnsi="Arial"/>
          <w:color w:val="auto"/>
        </w:rPr>
        <w:t>e</w:t>
      </w:r>
      <w:r w:rsidR="00B212CA">
        <w:rPr>
          <w:rFonts w:ascii="Arial" w:hAnsi="Arial"/>
          <w:color w:val="auto"/>
        </w:rPr>
        <w:t>-</w:t>
      </w:r>
      <w:r w:rsidR="002F0EE8" w:rsidRPr="00B14C19">
        <w:rPr>
          <w:rFonts w:ascii="Arial" w:hAnsi="Arial"/>
          <w:color w:val="auto"/>
        </w:rPr>
        <w:t>identified</w:t>
      </w:r>
    </w:p>
    <w:p w:rsidR="002913DF" w:rsidRPr="00B14C19" w:rsidRDefault="002F0EE8" w:rsidP="00B212CA">
      <w:pPr>
        <w:pStyle w:val="BodyText"/>
        <w:spacing w:after="240"/>
        <w:ind w:left="1080"/>
        <w:rPr>
          <w:rFonts w:ascii="Arial" w:hAnsi="Arial"/>
          <w:color w:val="auto"/>
        </w:rPr>
      </w:pPr>
      <w:r w:rsidRPr="00B14C19">
        <w:rPr>
          <w:rFonts w:ascii="Arial" w:hAnsi="Arial"/>
          <w:color w:val="auto"/>
        </w:rPr>
        <w:t>Otherwise rendered unreadable or undecipherable through any means.</w:t>
      </w:r>
    </w:p>
    <w:p w:rsidR="002913DF" w:rsidRPr="00B14C19" w:rsidRDefault="002913DF" w:rsidP="00B212CA">
      <w:pPr>
        <w:pStyle w:val="ListParagraph"/>
        <w:ind w:left="360"/>
        <w:rPr>
          <w:color w:val="auto"/>
        </w:rPr>
      </w:pPr>
      <w:r w:rsidRPr="00B14C19">
        <w:rPr>
          <w:color w:val="auto"/>
        </w:rPr>
        <w:t xml:space="preserve">Our office is under the jurisdiction of the State of </w:t>
      </w:r>
      <w:r w:rsidRPr="00422C3F">
        <w:rPr>
          <w:color w:val="auto"/>
          <w:highlight w:val="green"/>
        </w:rPr>
        <w:t>_____</w:t>
      </w:r>
      <w:r w:rsidRPr="00B14C19">
        <w:rPr>
          <w:color w:val="auto"/>
        </w:rPr>
        <w:t>.  State law</w:t>
      </w:r>
      <w:r w:rsidR="00422C3F">
        <w:rPr>
          <w:color w:val="auto"/>
        </w:rPr>
        <w:t xml:space="preserve"> [</w:t>
      </w:r>
      <w:r w:rsidR="00422C3F">
        <w:rPr>
          <w:color w:val="auto"/>
          <w:highlight w:val="green"/>
        </w:rPr>
        <w:t>S</w:t>
      </w:r>
      <w:r w:rsidR="00422C3F" w:rsidRPr="00422C3F">
        <w:rPr>
          <w:color w:val="auto"/>
          <w:highlight w:val="green"/>
        </w:rPr>
        <w:t xml:space="preserve">elect </w:t>
      </w:r>
      <w:r w:rsidR="00422C3F">
        <w:rPr>
          <w:color w:val="auto"/>
          <w:highlight w:val="green"/>
        </w:rPr>
        <w:t>one based on the laws of your state</w:t>
      </w:r>
      <w:r w:rsidR="00422C3F" w:rsidRPr="00422C3F">
        <w:rPr>
          <w:color w:val="auto"/>
          <w:highlight w:val="green"/>
        </w:rPr>
        <w:t>.</w:t>
      </w:r>
      <w:r w:rsidR="00422C3F">
        <w:rPr>
          <w:color w:val="auto"/>
        </w:rPr>
        <w:t>]</w:t>
      </w:r>
    </w:p>
    <w:p w:rsidR="002913DF" w:rsidRPr="00B14C19" w:rsidRDefault="002913DF" w:rsidP="00B212CA">
      <w:pPr>
        <w:pStyle w:val="BodyText"/>
        <w:ind w:left="1080"/>
        <w:rPr>
          <w:rFonts w:ascii="Arial" w:hAnsi="Arial"/>
          <w:color w:val="auto"/>
        </w:rPr>
      </w:pPr>
      <w:r w:rsidRPr="00B14C19">
        <w:rPr>
          <w:rFonts w:ascii="Arial" w:hAnsi="Arial"/>
          <w:color w:val="auto"/>
        </w:rPr>
        <w:t>DOES; or</w:t>
      </w:r>
    </w:p>
    <w:p w:rsidR="002913DF" w:rsidRPr="00B14C19" w:rsidRDefault="002913DF" w:rsidP="00B212CA">
      <w:pPr>
        <w:pStyle w:val="BodyText"/>
        <w:ind w:left="1080"/>
        <w:rPr>
          <w:rFonts w:ascii="Arial" w:hAnsi="Arial"/>
          <w:color w:val="auto"/>
        </w:rPr>
      </w:pPr>
      <w:r w:rsidRPr="00B14C19">
        <w:rPr>
          <w:rFonts w:ascii="Arial" w:hAnsi="Arial"/>
          <w:color w:val="auto"/>
        </w:rPr>
        <w:t>DOES NOT</w:t>
      </w:r>
    </w:p>
    <w:p w:rsidR="002913DF" w:rsidRPr="00B14C19" w:rsidRDefault="002913DF" w:rsidP="00B212CA">
      <w:pPr>
        <w:pStyle w:val="BodyText"/>
        <w:numPr>
          <w:ilvl w:val="0"/>
          <w:numId w:val="0"/>
        </w:numPr>
        <w:rPr>
          <w:rFonts w:ascii="Arial" w:hAnsi="Arial"/>
          <w:color w:val="auto"/>
        </w:rPr>
      </w:pPr>
      <w:proofErr w:type="gramStart"/>
      <w:r w:rsidRPr="00B14C19">
        <w:rPr>
          <w:rFonts w:ascii="Arial" w:hAnsi="Arial"/>
          <w:color w:val="auto"/>
        </w:rPr>
        <w:t>require</w:t>
      </w:r>
      <w:proofErr w:type="gramEnd"/>
      <w:r w:rsidRPr="00B14C19">
        <w:rPr>
          <w:rFonts w:ascii="Arial" w:hAnsi="Arial"/>
          <w:color w:val="auto"/>
        </w:rPr>
        <w:t xml:space="preserve"> notification in the event of a security breach.</w:t>
      </w:r>
    </w:p>
    <w:p w:rsidR="002913DF" w:rsidRPr="00B14C19" w:rsidRDefault="002913DF" w:rsidP="00B212CA">
      <w:pPr>
        <w:pStyle w:val="ListParagraph"/>
        <w:ind w:left="360"/>
        <w:rPr>
          <w:color w:val="auto"/>
        </w:rPr>
      </w:pPr>
      <w:r w:rsidRPr="00B14C19">
        <w:rPr>
          <w:color w:val="auto"/>
        </w:rPr>
        <w:t>Security Breach Procedures:</w:t>
      </w:r>
    </w:p>
    <w:p w:rsidR="002913DF" w:rsidRPr="00B14C19" w:rsidRDefault="002913DF" w:rsidP="00B212CA">
      <w:pPr>
        <w:pStyle w:val="ListParagraph"/>
        <w:numPr>
          <w:ilvl w:val="1"/>
          <w:numId w:val="5"/>
        </w:numPr>
        <w:ind w:left="720"/>
        <w:rPr>
          <w:color w:val="auto"/>
        </w:rPr>
      </w:pPr>
      <w:r w:rsidRPr="00B14C19">
        <w:rPr>
          <w:color w:val="auto"/>
        </w:rPr>
        <w:t>If our office becomes aware that a security breach may have occurred, we will conduct a good-faith investigation to determine the likelihood that PI has been, or will be, misused.</w:t>
      </w:r>
    </w:p>
    <w:p w:rsidR="007E319E" w:rsidRPr="00B14C19" w:rsidRDefault="002913DF" w:rsidP="00B212CA">
      <w:pPr>
        <w:pStyle w:val="ListParagraph"/>
        <w:numPr>
          <w:ilvl w:val="1"/>
          <w:numId w:val="5"/>
        </w:numPr>
        <w:ind w:left="720"/>
        <w:rPr>
          <w:color w:val="auto"/>
        </w:rPr>
      </w:pPr>
      <w:r w:rsidRPr="00B14C19">
        <w:rPr>
          <w:color w:val="auto"/>
        </w:rPr>
        <w:t>If our investigation determines that misuse has not occurred, and is not reasonably likely to occur,</w:t>
      </w:r>
      <w:r w:rsidR="007E319E" w:rsidRPr="00B14C19">
        <w:rPr>
          <w:color w:val="auto"/>
        </w:rPr>
        <w:t xml:space="preserve"> then no notice shall be given.</w:t>
      </w:r>
    </w:p>
    <w:p w:rsidR="007E319E" w:rsidRPr="00B14C19" w:rsidRDefault="007E319E" w:rsidP="00B212CA">
      <w:pPr>
        <w:pStyle w:val="ListParagraph"/>
        <w:numPr>
          <w:ilvl w:val="1"/>
          <w:numId w:val="5"/>
        </w:numPr>
        <w:ind w:left="720"/>
        <w:rPr>
          <w:color w:val="auto"/>
        </w:rPr>
      </w:pPr>
      <w:r w:rsidRPr="00B14C19">
        <w:rPr>
          <w:color w:val="auto"/>
        </w:rPr>
        <w:t>If our investigation determines that misuse has occurred, or is reasonably likely to occur, then we will:</w:t>
      </w:r>
    </w:p>
    <w:p w:rsidR="00052857" w:rsidRPr="00B14C19" w:rsidRDefault="007E319E" w:rsidP="00B212CA">
      <w:pPr>
        <w:pStyle w:val="ListParagraph"/>
        <w:numPr>
          <w:ilvl w:val="2"/>
          <w:numId w:val="5"/>
        </w:numPr>
        <w:ind w:left="1440" w:hanging="360"/>
        <w:rPr>
          <w:color w:val="auto"/>
        </w:rPr>
      </w:pPr>
      <w:r w:rsidRPr="00B14C19">
        <w:rPr>
          <w:color w:val="auto"/>
        </w:rPr>
        <w:t>Give notice to the affected person within 30 days of the date of determination of security breach</w:t>
      </w:r>
      <w:r w:rsidR="00052857" w:rsidRPr="00B14C19">
        <w:rPr>
          <w:color w:val="auto"/>
        </w:rPr>
        <w:t>;</w:t>
      </w:r>
      <w:r w:rsidR="0048053A" w:rsidRPr="00B14C19">
        <w:rPr>
          <w:color w:val="auto"/>
        </w:rPr>
        <w:t xml:space="preserve"> and</w:t>
      </w:r>
    </w:p>
    <w:p w:rsidR="00C930E8" w:rsidRPr="00B14C19" w:rsidRDefault="00052857" w:rsidP="00B212CA">
      <w:pPr>
        <w:pStyle w:val="ListParagraph"/>
        <w:numPr>
          <w:ilvl w:val="2"/>
          <w:numId w:val="5"/>
        </w:numPr>
        <w:ind w:left="1440" w:hanging="360"/>
        <w:rPr>
          <w:color w:val="auto"/>
        </w:rPr>
      </w:pPr>
      <w:r w:rsidRPr="00B14C19">
        <w:rPr>
          <w:color w:val="auto"/>
        </w:rPr>
        <w:t xml:space="preserve">Direct that person to promptly take appropriate steps to protect the affected online account, email address, password, security question(s) and answer(s), </w:t>
      </w:r>
      <w:r w:rsidR="00C930E8" w:rsidRPr="00B14C19">
        <w:rPr>
          <w:color w:val="auto"/>
        </w:rPr>
        <w:t>login-credentials, etc.</w:t>
      </w:r>
    </w:p>
    <w:p w:rsidR="008B62AC" w:rsidRDefault="008B62AC" w:rsidP="00B212CA">
      <w:pPr>
        <w:pStyle w:val="ListParagraph"/>
        <w:numPr>
          <w:ilvl w:val="1"/>
          <w:numId w:val="5"/>
        </w:numPr>
        <w:ind w:left="720"/>
        <w:rPr>
          <w:color w:val="auto"/>
        </w:rPr>
      </w:pPr>
      <w:r w:rsidRPr="00B14C19">
        <w:rPr>
          <w:color w:val="auto"/>
        </w:rPr>
        <w:t xml:space="preserve">If </w:t>
      </w:r>
      <w:r>
        <w:rPr>
          <w:color w:val="auto"/>
        </w:rPr>
        <w:t>500 or more people require notification,</w:t>
      </w:r>
      <w:r w:rsidRPr="00B14C19">
        <w:rPr>
          <w:color w:val="auto"/>
        </w:rPr>
        <w:t xml:space="preserve"> then our office will give notice to the Attorney General within 30 days of the date of determination of security breach.</w:t>
      </w:r>
    </w:p>
    <w:p w:rsidR="0048053A" w:rsidRPr="008B62AC" w:rsidRDefault="00C930E8" w:rsidP="008B62AC">
      <w:pPr>
        <w:pStyle w:val="ListParagraph"/>
        <w:numPr>
          <w:ilvl w:val="1"/>
          <w:numId w:val="5"/>
        </w:numPr>
        <w:ind w:left="720"/>
        <w:rPr>
          <w:color w:val="auto"/>
        </w:rPr>
      </w:pPr>
      <w:r w:rsidRPr="00B14C19">
        <w:rPr>
          <w:color w:val="auto"/>
        </w:rPr>
        <w:t>If more than 1,000 people require notification, then our office will expediently notify the consumer reporting agencies of the anticipated number of people that will be notified, and the anticipated date of the notification.</w:t>
      </w:r>
    </w:p>
    <w:p w:rsidR="00B7076D" w:rsidRDefault="00B7076D" w:rsidP="00B7076D">
      <w:pPr>
        <w:pStyle w:val="ListParagraph"/>
        <w:ind w:left="360"/>
        <w:rPr>
          <w:color w:val="auto"/>
        </w:rPr>
      </w:pPr>
      <w:r>
        <w:rPr>
          <w:color w:val="auto"/>
        </w:rPr>
        <w:t xml:space="preserve">No Conflict of Laws: </w:t>
      </w:r>
      <w:r w:rsidR="0048053A" w:rsidRPr="00B14C19">
        <w:rPr>
          <w:color w:val="auto"/>
        </w:rPr>
        <w:t xml:space="preserve">This policy and these procedures are intended to augment, but in no way limit, our obligations under the Health Insurance Portability and Accountability Act and the regulations promulgated </w:t>
      </w:r>
      <w:proofErr w:type="spellStart"/>
      <w:r w:rsidR="0048053A" w:rsidRPr="00B14C19">
        <w:rPr>
          <w:color w:val="auto"/>
        </w:rPr>
        <w:t>thereunder</w:t>
      </w:r>
      <w:proofErr w:type="spellEnd"/>
      <w:r w:rsidR="0048053A" w:rsidRPr="00B14C19">
        <w:rPr>
          <w:color w:val="auto"/>
        </w:rPr>
        <w:t xml:space="preserve"> (HIPAA).  If there is a conflict between state law and HIPAA as to the notice period, the law or re</w:t>
      </w:r>
      <w:r w:rsidR="00442457">
        <w:rPr>
          <w:color w:val="auto"/>
        </w:rPr>
        <w:t>gulation with the shortest time</w:t>
      </w:r>
      <w:r w:rsidR="0048053A" w:rsidRPr="00B14C19">
        <w:rPr>
          <w:color w:val="auto"/>
        </w:rPr>
        <w:t>frame for notice to</w:t>
      </w:r>
      <w:r>
        <w:rPr>
          <w:color w:val="auto"/>
        </w:rPr>
        <w:t xml:space="preserve"> the individual shall control.</w:t>
      </w:r>
    </w:p>
    <w:p w:rsidR="00B7076D" w:rsidRDefault="00B7076D" w:rsidP="00B7076D">
      <w:pPr>
        <w:rPr>
          <w:color w:val="auto"/>
        </w:rPr>
      </w:pPr>
    </w:p>
    <w:p w:rsidR="00B7076D" w:rsidRDefault="00B7076D" w:rsidP="00B7076D">
      <w:pPr>
        <w:rPr>
          <w:color w:val="auto"/>
        </w:rPr>
      </w:pPr>
    </w:p>
    <w:p w:rsidR="00B7076D" w:rsidRPr="00B7076D" w:rsidRDefault="00B7076D" w:rsidP="00B7076D">
      <w:pPr>
        <w:rPr>
          <w:rFonts w:ascii="Arial" w:hAnsi="Arial"/>
          <w:color w:val="auto"/>
        </w:rPr>
      </w:pPr>
      <w:r w:rsidRPr="00B7076D">
        <w:rPr>
          <w:rFonts w:ascii="Arial" w:hAnsi="Arial"/>
          <w:color w:val="auto"/>
        </w:rPr>
        <w:t>Adopted by:</w:t>
      </w:r>
      <w:r w:rsidR="008B62AC">
        <w:rPr>
          <w:rFonts w:ascii="Arial" w:hAnsi="Arial"/>
          <w:color w:val="auto"/>
        </w:rPr>
        <w:t xml:space="preserve"> [</w:t>
      </w:r>
      <w:r w:rsidR="008B62AC" w:rsidRPr="008B62AC">
        <w:rPr>
          <w:rFonts w:ascii="Arial" w:hAnsi="Arial"/>
          <w:color w:val="auto"/>
          <w:highlight w:val="green"/>
        </w:rPr>
        <w:t>Name of Privacy Officer</w:t>
      </w:r>
      <w:r w:rsidR="008B62AC">
        <w:rPr>
          <w:rFonts w:ascii="Arial" w:hAnsi="Arial"/>
          <w:color w:val="auto"/>
        </w:rPr>
        <w:t>]</w:t>
      </w:r>
    </w:p>
    <w:p w:rsidR="00B7076D" w:rsidRPr="00B7076D" w:rsidRDefault="00B7076D" w:rsidP="00B7076D">
      <w:pPr>
        <w:rPr>
          <w:rFonts w:ascii="Arial" w:hAnsi="Arial"/>
          <w:color w:val="auto"/>
        </w:rPr>
      </w:pPr>
      <w:r w:rsidRPr="00B7076D">
        <w:rPr>
          <w:rFonts w:ascii="Arial" w:hAnsi="Arial"/>
          <w:color w:val="auto"/>
        </w:rPr>
        <w:t xml:space="preserve">For: </w:t>
      </w:r>
      <w:r w:rsidR="008B62AC">
        <w:rPr>
          <w:rFonts w:ascii="Arial" w:hAnsi="Arial"/>
          <w:color w:val="auto"/>
        </w:rPr>
        <w:t>[</w:t>
      </w:r>
      <w:r w:rsidR="008B62AC" w:rsidRPr="008B62AC">
        <w:rPr>
          <w:rFonts w:ascii="Arial" w:hAnsi="Arial"/>
          <w:color w:val="auto"/>
          <w:highlight w:val="green"/>
        </w:rPr>
        <w:t>Name of Practice</w:t>
      </w:r>
      <w:r w:rsidR="008B62AC">
        <w:rPr>
          <w:rFonts w:ascii="Arial" w:hAnsi="Arial"/>
          <w:color w:val="auto"/>
        </w:rPr>
        <w:t>]</w:t>
      </w:r>
    </w:p>
    <w:p w:rsidR="007A6521" w:rsidRPr="00B7076D" w:rsidRDefault="00B7076D" w:rsidP="00B7076D">
      <w:pPr>
        <w:rPr>
          <w:rFonts w:ascii="Arial" w:hAnsi="Arial"/>
          <w:color w:val="auto"/>
        </w:rPr>
      </w:pPr>
      <w:r w:rsidRPr="00B7076D">
        <w:rPr>
          <w:rFonts w:ascii="Arial" w:hAnsi="Arial"/>
          <w:color w:val="auto"/>
        </w:rPr>
        <w:t>Date:</w:t>
      </w:r>
      <w:r w:rsidR="008B62AC">
        <w:rPr>
          <w:rFonts w:ascii="Arial" w:hAnsi="Arial"/>
          <w:color w:val="auto"/>
        </w:rPr>
        <w:t xml:space="preserve"> [</w:t>
      </w:r>
      <w:r w:rsidR="008B62AC" w:rsidRPr="008B62AC">
        <w:rPr>
          <w:rFonts w:ascii="Arial" w:hAnsi="Arial"/>
          <w:color w:val="auto"/>
          <w:highlight w:val="green"/>
        </w:rPr>
        <w:t>Date</w:t>
      </w:r>
      <w:r w:rsidR="008B62AC">
        <w:rPr>
          <w:rFonts w:ascii="Arial" w:hAnsi="Arial"/>
          <w:color w:val="auto"/>
        </w:rPr>
        <w:t>]</w:t>
      </w:r>
    </w:p>
    <w:sectPr w:rsidR="007A6521" w:rsidRPr="00B7076D" w:rsidSect="006D380E">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gutter="0"/>
      <w:noEndnote/>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Zona Pro Black">
    <w:panose1 w:val="02010A03040002020004"/>
    <w:charset w:val="00"/>
    <w:family w:val="auto"/>
    <w:pitch w:val="variable"/>
    <w:sig w:usb0="00000003" w:usb1="00000000" w:usb2="00000000" w:usb3="00000000" w:csb0="00000001" w:csb1="00000000"/>
  </w:font>
  <w:font w:name="Zona Pro Regular Italic">
    <w:panose1 w:val="02010A030400020200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Zona Pro ExtraBold">
    <w:panose1 w:val="02010A03040002020004"/>
    <w:charset w:val="00"/>
    <w:family w:val="auto"/>
    <w:pitch w:val="variable"/>
    <w:sig w:usb0="00000003" w:usb1="00000000" w:usb2="00000000" w:usb3="00000000" w:csb0="00000001" w:csb1="00000000"/>
  </w:font>
  <w:font w:name="Zona Pro Thin">
    <w:panose1 w:val="02010303040002020004"/>
    <w:charset w:val="00"/>
    <w:family w:val="auto"/>
    <w:pitch w:val="variable"/>
    <w:sig w:usb0="00000003" w:usb1="00000000" w:usb2="00000000" w:usb3="00000000" w:csb0="00000001" w:csb1="00000000"/>
  </w:font>
  <w:font w:name="Zona Pro Regular">
    <w:panose1 w:val="02010A030400020200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07" w:rsidRDefault="0004040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07" w:rsidRPr="005E5E6B" w:rsidRDefault="00040407" w:rsidP="006D380E">
    <w:pPr>
      <w:jc w:val="right"/>
      <w:rPr>
        <w:rFonts w:ascii="Zona Pro Thin" w:hAnsi="Zona Pro Thin"/>
        <w:color w:val="7F7F7F" w:themeColor="text1" w:themeTint="80"/>
        <w:sz w:val="16"/>
      </w:rPr>
    </w:pPr>
    <w:r w:rsidRPr="005E5E6B">
      <w:rPr>
        <w:rFonts w:ascii="Zona Pro Thin" w:hAnsi="Zona Pro Thin"/>
        <w:color w:val="7F7F7F" w:themeColor="text1" w:themeTint="80"/>
        <w:sz w:val="16"/>
      </w:rPr>
      <w:t>Copyright © 2019 - Poza, Inc.</w:t>
    </w:r>
  </w:p>
  <w:p w:rsidR="00040407" w:rsidRPr="005E5E6B" w:rsidRDefault="00040407" w:rsidP="006D380E">
    <w:pPr>
      <w:spacing w:after="120"/>
      <w:jc w:val="right"/>
      <w:rPr>
        <w:rFonts w:ascii="Zona Pro Thin" w:hAnsi="Zona Pro Thin"/>
        <w:color w:val="7F7F7F" w:themeColor="text1" w:themeTint="80"/>
        <w:sz w:val="16"/>
      </w:rPr>
    </w:pPr>
    <w:r w:rsidRPr="005E5E6B">
      <w:rPr>
        <w:rFonts w:ascii="Zona Pro Thin" w:hAnsi="Zona Pro Thin"/>
        <w:color w:val="7F7F7F" w:themeColor="text1" w:themeTint="80"/>
        <w:sz w:val="16"/>
      </w:rPr>
      <w:t xml:space="preserve">This material is protected by copyright.  </w:t>
    </w:r>
    <w:r>
      <w:rPr>
        <w:rFonts w:ascii="Zona Pro Thin" w:hAnsi="Zona Pro Thin"/>
        <w:color w:val="7F7F7F" w:themeColor="text1" w:themeTint="80"/>
        <w:sz w:val="16"/>
      </w:rPr>
      <w:t>Circulation and republication are expressly prohibited.</w:t>
    </w:r>
  </w:p>
  <w:p w:rsidR="00040407" w:rsidRPr="005E5E6B" w:rsidRDefault="00040407" w:rsidP="006D380E">
    <w:pPr>
      <w:jc w:val="right"/>
      <w:rPr>
        <w:rFonts w:ascii="Zona Pro Thin" w:hAnsi="Zona Pro Thin"/>
        <w:color w:val="7F7F7F" w:themeColor="text1" w:themeTint="80"/>
        <w:sz w:val="16"/>
      </w:rPr>
    </w:pPr>
    <w:r w:rsidRPr="005E5E6B">
      <w:rPr>
        <w:rStyle w:val="PageNumber"/>
        <w:rFonts w:ascii="Zona Pro Thin" w:hAnsi="Zona Pro Thin"/>
        <w:color w:val="7F7F7F" w:themeColor="text1" w:themeTint="80"/>
        <w:sz w:val="16"/>
      </w:rPr>
      <w:fldChar w:fldCharType="begin"/>
    </w:r>
    <w:r w:rsidRPr="005E5E6B">
      <w:rPr>
        <w:rStyle w:val="PageNumber"/>
        <w:rFonts w:ascii="Zona Pro Thin" w:hAnsi="Zona Pro Thin"/>
        <w:color w:val="7F7F7F" w:themeColor="text1" w:themeTint="80"/>
        <w:sz w:val="16"/>
      </w:rPr>
      <w:instrText xml:space="preserve"> PAGE </w:instrText>
    </w:r>
    <w:r w:rsidRPr="005E5E6B">
      <w:rPr>
        <w:rStyle w:val="PageNumber"/>
        <w:rFonts w:ascii="Zona Pro Thin" w:hAnsi="Zona Pro Thin"/>
        <w:color w:val="7F7F7F" w:themeColor="text1" w:themeTint="80"/>
        <w:sz w:val="16"/>
      </w:rPr>
      <w:fldChar w:fldCharType="separate"/>
    </w:r>
    <w:r w:rsidR="00032641">
      <w:rPr>
        <w:rStyle w:val="PageNumber"/>
        <w:rFonts w:ascii="Zona Pro Thin" w:hAnsi="Zona Pro Thin"/>
        <w:noProof/>
        <w:color w:val="7F7F7F" w:themeColor="text1" w:themeTint="80"/>
        <w:sz w:val="16"/>
      </w:rPr>
      <w:t>3</w:t>
    </w:r>
    <w:r w:rsidRPr="005E5E6B">
      <w:rPr>
        <w:rStyle w:val="PageNumber"/>
        <w:rFonts w:ascii="Zona Pro Thin" w:hAnsi="Zona Pro Thin"/>
        <w:color w:val="7F7F7F" w:themeColor="text1" w:themeTint="80"/>
        <w:sz w:val="16"/>
      </w:rPr>
      <w:fldChar w:fldCharType="end"/>
    </w:r>
    <w:r w:rsidRPr="005E5E6B">
      <w:rPr>
        <w:rStyle w:val="PageNumber"/>
        <w:rFonts w:ascii="Zona Pro Thin" w:hAnsi="Zona Pro Thin"/>
        <w:color w:val="7F7F7F" w:themeColor="text1" w:themeTint="80"/>
        <w:sz w:val="16"/>
      </w:rPr>
      <w:t xml:space="preserve"> of </w:t>
    </w:r>
    <w:r w:rsidRPr="005E5E6B">
      <w:rPr>
        <w:rStyle w:val="PageNumber"/>
        <w:rFonts w:ascii="Zona Pro Thin" w:hAnsi="Zona Pro Thin"/>
        <w:color w:val="7F7F7F" w:themeColor="text1" w:themeTint="80"/>
        <w:sz w:val="16"/>
      </w:rPr>
      <w:fldChar w:fldCharType="begin"/>
    </w:r>
    <w:r w:rsidRPr="005E5E6B">
      <w:rPr>
        <w:rStyle w:val="PageNumber"/>
        <w:rFonts w:ascii="Zona Pro Thin" w:hAnsi="Zona Pro Thin"/>
        <w:color w:val="7F7F7F" w:themeColor="text1" w:themeTint="80"/>
        <w:sz w:val="16"/>
      </w:rPr>
      <w:instrText xml:space="preserve"> NUMPAGES </w:instrText>
    </w:r>
    <w:r w:rsidRPr="005E5E6B">
      <w:rPr>
        <w:rStyle w:val="PageNumber"/>
        <w:rFonts w:ascii="Zona Pro Thin" w:hAnsi="Zona Pro Thin"/>
        <w:color w:val="7F7F7F" w:themeColor="text1" w:themeTint="80"/>
        <w:sz w:val="16"/>
      </w:rPr>
      <w:fldChar w:fldCharType="separate"/>
    </w:r>
    <w:r w:rsidR="00032641">
      <w:rPr>
        <w:rStyle w:val="PageNumber"/>
        <w:rFonts w:ascii="Zona Pro Thin" w:hAnsi="Zona Pro Thin"/>
        <w:noProof/>
        <w:color w:val="7F7F7F" w:themeColor="text1" w:themeTint="80"/>
        <w:sz w:val="16"/>
      </w:rPr>
      <w:t>3</w:t>
    </w:r>
    <w:r w:rsidRPr="005E5E6B">
      <w:rPr>
        <w:rStyle w:val="PageNumber"/>
        <w:rFonts w:ascii="Zona Pro Thin" w:hAnsi="Zona Pro Thin"/>
        <w:color w:val="7F7F7F" w:themeColor="text1" w:themeTint="80"/>
        <w:sz w:val="16"/>
      </w:rPr>
      <w:fldChar w:fldCharType="end"/>
    </w:r>
  </w:p>
  <w:p w:rsidR="00040407" w:rsidRPr="005E5E6B" w:rsidRDefault="00040407" w:rsidP="006D380E">
    <w:pPr>
      <w:pStyle w:val="Footer"/>
      <w:jc w:val="right"/>
      <w:rPr>
        <w:rFonts w:ascii="Zona Pro Thin" w:hAnsi="Zona Pro Thin"/>
        <w:sz w:val="16"/>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07" w:rsidRDefault="0004040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07" w:rsidRDefault="0004040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27.85pt;height:131.95pt;rotation:315;z-index:-251650048;mso-wrap-edited:f;mso-position-horizontal:center;mso-position-horizontal-relative:margin;mso-position-vertical:center;mso-position-vertical-relative:margin" wrapcoords="20740 7854 20526 7363 19851 6627 19145 7118 18685 7977 17304 2454 17028 2700 16997 12150 15893 8345 15126 6381 14942 6872 14236 6872 13714 7486 13315 6872 13162 7118 13131 7977 13101 10431 11935 7486 11536 6627 10769 6872 10217 7486 9143 6872 8744 6750 8130 7363 7762 6995 7425 6872 7332 7240 6443 7118 6197 6627 6075 7486 5215 6872 4540 6872 3988 7486 3589 8713 3375 10554 2638 7731 1963 6013 1748 6872 1073 6872 736 7363 490 7977 276 9081 122 9818 920 14481 1442 16813 644 16322 429 16077 337 16077 245 16813 429 17550 1196 18409 1902 18409 2454 17795 3068 15463 2669 13131 4418 18777 4632 18286 5369 18409 5829 17672 6259 18163 6443 18040 6473 17550 6473 14727 7486 18409 7762 18040 7762 11536 8621 14850 9940 18654 10094 18040 10125 12518 10401 13622 12119 18409 13254 21845 13500 21600 13530 17795 14389 18409 15064 18286 15555 17672 15954 16568 16230 14850 17365 18163 17396 17918 17488 14113 19022 17795 19145 17918 19851 18409 20495 18040 21017 17304 21293 16322 21231 15954 20740 13254 21354 13254 21446 12886 21293 10186 21170 9572 20740 7854" fillcolor="black" stroked="f">
          <v:fill opacity="9830f"/>
          <v:textpath style="font-family:&quot;Zona Pro Light&quot;;font-size:1pt" string="sample"/>
          <w10:wrap anchorx="margin" anchory="margin"/>
        </v:shape>
      </w:pict>
    </w:r>
    <w:r>
      <w:rPr>
        <w:noProof/>
      </w:rPr>
      <w:pict>
        <v:shape id="PowerPlusWaterMarkObject2" o:spid="_x0000_s1026" type="#_x0000_t136" style="position:absolute;margin-left:0;margin-top:0;width:527.85pt;height:131.95pt;rotation:315;z-index:-251654144;mso-wrap-edited:f;mso-position-horizontal:center;mso-position-horizontal-relative:margin;mso-position-vertical:center;mso-position-vertical-relative:margin" wrapcoords="20925 7486 20710 6995 20127 6504 19851 6750 19421 6872 18255 2945 17887 1963 17672 2700 17243 2700 17151 2822 16721 9818 15739 7486 15310 6381 13162 6872 13101 6995 12947 8713 12395 7731 11751 6750 11628 6627 11014 6627 10462 7240 9634 6627 7455 6872 7363 7486 7302 8468 6842 7118 6412 6381 6228 6872 5860 6995 5614 7240 5338 6872 4847 6504 4448 6872 4203 7118 3743 8100 2607 6995 2055 6627 1288 6627 767 7240 736 7363 398 8590 368 8713 184 10554 153 10800 675 15218 276 14727 184 14727 -184 16936 30 17672 30 17795 705 18409 1534 18409 2086 18163 2515 17059 2700 16077 2792 15463 3098 16445 4142 18777 4295 18409 5645 18286 6259 18040 7026 18286 7793 18163 7854 17918 8007 16690 9020 18163 9848 18163 9879 17672 9971 16322 10125 16690 11076 18286 11597 19881 12548 22213 12763 21722 13315 21600 13346 21477 13500 19390 13960 18286 14696 18409 15187 17795 15617 16690 15770 17181 16598 18409 16721 18163 17365 18163 17642 13745 18715 17795 19452 18531 20219 18286 20710 17550 21139 16322 21078 13622 21354 13622 21415 13377 21538 12027 21446 10063 21385 9204 20925 7486" fillcolor="black" stroked="f">
          <v:fill opacity="13107f"/>
          <v:textpath style="font-family:&quot;Zona Pro ExtraBold Italic&quot;;font-size:1pt" string="sampl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07" w:rsidRDefault="0004040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527.85pt;height:131.95pt;rotation:315;z-index:-251652096;mso-wrap-edited:f;mso-position-horizontal:center;mso-position-horizontal-relative:margin;mso-position-vertical:center;mso-position-vertical-relative:margin" wrapcoords="20740 7854 20526 7363 19851 6627 19145 7118 18685 7977 17304 2454 17028 2700 16997 12150 15893 8345 15126 6381 14942 6872 14236 6872 13714 7486 13315 6872 13162 7118 13131 7977 13101 10431 11935 7486 11536 6627 10769 6872 10217 7486 9143 6872 8744 6750 8130 7363 7762 6995 7425 6872 7332 7240 6443 7118 6197 6627 6075 7486 5215 6872 4540 6872 3988 7486 3589 8713 3375 10554 2638 7731 1963 6013 1748 6872 1073 6872 736 7363 490 7977 276 9081 122 9818 920 14481 1442 16813 644 16322 429 16077 337 16077 245 16813 429 17550 1196 18409 1902 18409 2454 17795 3068 15463 2669 13131 4418 18777 4632 18286 5369 18409 5829 17672 6259 18163 6443 18040 6473 17550 6473 14727 7486 18409 7762 18040 7762 11536 8621 14850 9940 18654 10094 18040 10125 12518 10401 13622 12119 18409 13254 21845 13500 21600 13530 17795 14389 18409 15064 18286 15555 17672 15954 16568 16230 14850 17365 18163 17396 17918 17488 14113 19022 17795 19145 17918 19851 18409 20495 18040 21017 17304 21293 16322 21231 15954 20740 13254 21354 13254 21446 12886 21293 10186 21170 9572 20740 7854" fillcolor="black" stroked="f">
          <v:fill opacity="9830f"/>
          <v:textpath style="font-family:&quot;Zona Pro Light&quot;;font-size:1pt" string="sample"/>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07" w:rsidRDefault="00040407" w:rsidP="006D380E">
    <w:pPr>
      <w:spacing w:after="120"/>
      <w:jc w:val="center"/>
      <w:rPr>
        <w:rFonts w:ascii="Zona Pro Black" w:hAnsi="Zona Pro Black"/>
        <w:sz w:val="40"/>
      </w:rPr>
    </w:pPr>
    <w:r w:rsidRPr="00AA1F1E">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left:0;text-align:left;margin-left:0;margin-top:0;width:527.85pt;height:131.95pt;rotation:315;z-index:-251648000;mso-wrap-edited:f;mso-position-horizontal:center;mso-position-horizontal-relative:margin;mso-position-vertical:center;mso-position-vertical-relative:margin" wrapcoords="20740 7854 20526 7363 19851 6627 19145 7118 18685 7977 17304 2454 17028 2700 16997 12150 15893 8345 15126 6381 14942 6872 14236 6872 13714 7486 13315 6872 13162 7118 13131 7977 13101 10431 11935 7486 11536 6627 10769 6872 10217 7486 9143 6872 8744 6750 8130 7363 7762 6995 7425 6872 7332 7240 6443 7118 6197 6627 6075 7486 5215 6872 4540 6872 3988 7486 3589 8713 3375 10554 2638 7731 1963 6013 1748 6872 1073 6872 736 7363 490 7977 276 9081 122 9818 920 14481 1442 16813 644 16322 429 16077 337 16077 245 16813 429 17550 1196 18409 1902 18409 2454 17795 3068 15463 2669 13131 4418 18777 4632 18286 5369 18409 5829 17672 6259 18163 6443 18040 6473 17550 6473 14727 7486 18409 7762 18040 7762 11536 8621 14850 9940 18654 10094 18040 10125 12518 10401 13622 12119 18409 13254 21845 13500 21600 13530 17795 14389 18409 15064 18286 15555 17672 15954 16568 16230 14850 17365 18163 17396 17918 17488 14113 19022 17795 19145 17918 19851 18409 20495 18040 21017 17304 21293 16322 21231 15954 20740 13254 21354 13254 21446 12886 21293 10186 21170 9572 20740 7854" fillcolor="black" stroked="f">
          <v:fill opacity="9830f"/>
          <v:textpath style="font-family:&quot;Zona Pro Light&quot;;font-size:1pt" string="sample"/>
          <w10:wrap anchorx="margin" anchory="margin"/>
        </v:shape>
      </w:pict>
    </w:r>
    <w:r>
      <w:rPr>
        <w:rFonts w:ascii="Zona Pro Black" w:hAnsi="Zona Pro Black"/>
        <w:noProof/>
        <w:sz w:val="40"/>
      </w:rPr>
      <w:drawing>
        <wp:inline distT="0" distB="0" distL="0" distR="0">
          <wp:extent cx="228600" cy="228600"/>
          <wp:effectExtent l="25400" t="0" r="0" b="0"/>
          <wp:docPr id="3" name="Picture 0" descr="POZA_Icon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_Icon_purple.jpg"/>
                  <pic:cNvPicPr/>
                </pic:nvPicPr>
                <pic:blipFill>
                  <a:blip r:embed="rId1"/>
                  <a:stretch>
                    <a:fillRect/>
                  </a:stretch>
                </pic:blipFill>
                <pic:spPr>
                  <a:xfrm>
                    <a:off x="0" y="0"/>
                    <a:ext cx="228600" cy="228600"/>
                  </a:xfrm>
                  <a:prstGeom prst="rect">
                    <a:avLst/>
                  </a:prstGeom>
                </pic:spPr>
              </pic:pic>
            </a:graphicData>
          </a:graphic>
        </wp:inline>
      </w:drawing>
    </w:r>
  </w:p>
  <w:p w:rsidR="00040407" w:rsidRPr="00B14C19" w:rsidRDefault="00040407" w:rsidP="006D380E">
    <w:pPr>
      <w:spacing w:after="120"/>
      <w:jc w:val="center"/>
      <w:rPr>
        <w:rFonts w:ascii="Zona Pro Black" w:hAnsi="Zona Pro Black"/>
        <w:sz w:val="40"/>
      </w:rPr>
    </w:pPr>
    <w:r w:rsidRPr="00B14C19">
      <w:rPr>
        <w:rFonts w:ascii="Zona Pro Black" w:hAnsi="Zona Pro Black"/>
        <w:sz w:val="40"/>
      </w:rPr>
      <w:t>POZA</w:t>
    </w:r>
  </w:p>
  <w:p w:rsidR="00040407" w:rsidRPr="00B14C19" w:rsidRDefault="00040407" w:rsidP="006D380E">
    <w:pPr>
      <w:jc w:val="center"/>
      <w:rPr>
        <w:rFonts w:ascii="Zona Pro Regular" w:hAnsi="Zona Pro Regular"/>
        <w:i/>
      </w:rPr>
    </w:pPr>
    <w:r w:rsidRPr="00B14C19">
      <w:rPr>
        <w:rFonts w:ascii="Zona Pro Regular" w:hAnsi="Zona Pro Regular"/>
        <w:i/>
      </w:rPr>
      <w:t>Restoring the Joy of Medicine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3194E"/>
    <w:multiLevelType w:val="multilevel"/>
    <w:tmpl w:val="15A015FE"/>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
    <w:nsid w:val="3F5E46CD"/>
    <w:multiLevelType w:val="hybridMultilevel"/>
    <w:tmpl w:val="7B223C96"/>
    <w:lvl w:ilvl="0" w:tplc="557A93DA">
      <w:start w:val="1"/>
      <w:numFmt w:val="decimal"/>
      <w:lvlText w:val="%1."/>
      <w:lvlJc w:val="left"/>
      <w:pPr>
        <w:ind w:left="880" w:hanging="721"/>
      </w:pPr>
      <w:rPr>
        <w:rFonts w:ascii="Arial" w:eastAsia="Times New Roman" w:hAnsi="Arial" w:hint="default"/>
        <w:b w:val="0"/>
        <w:bCs/>
        <w:color w:val="auto"/>
        <w:w w:val="100"/>
        <w:sz w:val="24"/>
        <w:szCs w:val="22"/>
      </w:rPr>
    </w:lvl>
    <w:lvl w:ilvl="1" w:tplc="80828524">
      <w:start w:val="1"/>
      <w:numFmt w:val="decimal"/>
      <w:lvlText w:val="%1.%2"/>
      <w:lvlJc w:val="left"/>
      <w:pPr>
        <w:ind w:left="1600" w:hanging="720"/>
      </w:pPr>
      <w:rPr>
        <w:rFonts w:ascii="Arial" w:eastAsia="Times New Roman" w:hAnsi="Arial" w:hint="default"/>
        <w:w w:val="100"/>
        <w:sz w:val="24"/>
        <w:szCs w:val="22"/>
      </w:rPr>
    </w:lvl>
    <w:lvl w:ilvl="2" w:tplc="BF0828EA">
      <w:start w:val="1"/>
      <w:numFmt w:val="bullet"/>
      <w:lvlText w:val="•"/>
      <w:lvlJc w:val="left"/>
      <w:pPr>
        <w:ind w:left="1600" w:hanging="720"/>
      </w:pPr>
      <w:rPr>
        <w:rFonts w:hint="default"/>
      </w:rPr>
    </w:lvl>
    <w:lvl w:ilvl="3" w:tplc="EB722280">
      <w:start w:val="1"/>
      <w:numFmt w:val="bullet"/>
      <w:lvlText w:val="•"/>
      <w:lvlJc w:val="left"/>
      <w:pPr>
        <w:ind w:left="1660" w:hanging="720"/>
      </w:pPr>
      <w:rPr>
        <w:rFonts w:hint="default"/>
      </w:rPr>
    </w:lvl>
    <w:lvl w:ilvl="4" w:tplc="09AED82C">
      <w:start w:val="1"/>
      <w:numFmt w:val="bullet"/>
      <w:lvlText w:val="•"/>
      <w:lvlJc w:val="left"/>
      <w:pPr>
        <w:ind w:left="2805" w:hanging="720"/>
      </w:pPr>
      <w:rPr>
        <w:rFonts w:hint="default"/>
      </w:rPr>
    </w:lvl>
    <w:lvl w:ilvl="5" w:tplc="9D425A18">
      <w:start w:val="1"/>
      <w:numFmt w:val="bullet"/>
      <w:lvlText w:val="•"/>
      <w:lvlJc w:val="left"/>
      <w:pPr>
        <w:ind w:left="3951" w:hanging="720"/>
      </w:pPr>
      <w:rPr>
        <w:rFonts w:hint="default"/>
      </w:rPr>
    </w:lvl>
    <w:lvl w:ilvl="6" w:tplc="A4DAEF84">
      <w:start w:val="1"/>
      <w:numFmt w:val="bullet"/>
      <w:lvlText w:val="•"/>
      <w:lvlJc w:val="left"/>
      <w:pPr>
        <w:ind w:left="5097" w:hanging="720"/>
      </w:pPr>
      <w:rPr>
        <w:rFonts w:hint="default"/>
      </w:rPr>
    </w:lvl>
    <w:lvl w:ilvl="7" w:tplc="40240C86">
      <w:start w:val="1"/>
      <w:numFmt w:val="bullet"/>
      <w:lvlText w:val="•"/>
      <w:lvlJc w:val="left"/>
      <w:pPr>
        <w:ind w:left="6242" w:hanging="720"/>
      </w:pPr>
      <w:rPr>
        <w:rFonts w:hint="default"/>
      </w:rPr>
    </w:lvl>
    <w:lvl w:ilvl="8" w:tplc="B6323C1A">
      <w:start w:val="1"/>
      <w:numFmt w:val="bullet"/>
      <w:lvlText w:val="•"/>
      <w:lvlJc w:val="left"/>
      <w:pPr>
        <w:ind w:left="7388" w:hanging="720"/>
      </w:pPr>
      <w:rPr>
        <w:rFonts w:hint="default"/>
      </w:rPr>
    </w:lvl>
  </w:abstractNum>
  <w:abstractNum w:abstractNumId="2">
    <w:nsid w:val="411170B4"/>
    <w:multiLevelType w:val="hybridMultilevel"/>
    <w:tmpl w:val="28A23166"/>
    <w:lvl w:ilvl="0" w:tplc="2C74D28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70B0C81"/>
    <w:multiLevelType w:val="multilevel"/>
    <w:tmpl w:val="010C8F86"/>
    <w:lvl w:ilvl="0">
      <w:start w:val="1"/>
      <w:numFmt w:val="upperRoman"/>
      <w:pStyle w:val="HLD"/>
      <w:lvlText w:val="%1)"/>
      <w:lvlJc w:val="left"/>
      <w:pPr>
        <w:ind w:left="360" w:hanging="360"/>
      </w:pPr>
      <w:rPr>
        <w:rFonts w:ascii="Times New Roman" w:hAnsi="Times New Roman" w:hint="default"/>
        <w:b w:val="0"/>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0AE25A2"/>
    <w:multiLevelType w:val="hybridMultilevel"/>
    <w:tmpl w:val="F474B3C6"/>
    <w:lvl w:ilvl="0" w:tplc="A6C69DFC">
      <w:start w:val="1"/>
      <w:numFmt w:val="bullet"/>
      <w:pStyle w:val="BodyTex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29A4C4F"/>
    <w:multiLevelType w:val="hybridMultilevel"/>
    <w:tmpl w:val="F8F6B13C"/>
    <w:lvl w:ilvl="0" w:tplc="BEC04376">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num>
  <w:num w:numId="3">
    <w:abstractNumId w:val="1"/>
  </w:num>
  <w:num w:numId="4">
    <w:abstractNumId w:val="3"/>
  </w:num>
  <w:num w:numId="5">
    <w:abstractNumId w:val="5"/>
  </w:num>
  <w:num w:numId="6">
    <w:abstractNumId w:val="2"/>
  </w:num>
  <w:num w:numId="7">
    <w:abstractNumId w:val="5"/>
  </w:num>
  <w:num w:numId="8">
    <w:abstractNumId w:val="5"/>
  </w:num>
  <w:num w:numId="9">
    <w:abstractNumId w:val="2"/>
  </w:num>
  <w:num w:numId="10">
    <w:abstractNumId w:val="5"/>
  </w:num>
  <w:num w:numId="11">
    <w:abstractNumId w:val="5"/>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1"/>
    </o:shapelayout>
  </w:hdrShapeDefaults>
  <w:compat>
    <w:doNotAutofitConstrainedTables/>
    <w:splitPgBreakAndParaMark/>
    <w:doNotVertAlignCellWithSp/>
    <w:doNotBreakConstrainedForcedTable/>
    <w:useAnsiKerningPairs/>
    <w:cachedColBalance/>
  </w:compat>
  <w:rsids>
    <w:rsidRoot w:val="007A6521"/>
    <w:rsid w:val="00032641"/>
    <w:rsid w:val="00040407"/>
    <w:rsid w:val="00052857"/>
    <w:rsid w:val="002913DF"/>
    <w:rsid w:val="002F0EE8"/>
    <w:rsid w:val="00360823"/>
    <w:rsid w:val="00422C3F"/>
    <w:rsid w:val="00442457"/>
    <w:rsid w:val="0048053A"/>
    <w:rsid w:val="004834A7"/>
    <w:rsid w:val="005E5E6B"/>
    <w:rsid w:val="006D380E"/>
    <w:rsid w:val="007A6521"/>
    <w:rsid w:val="007E319E"/>
    <w:rsid w:val="008B62AC"/>
    <w:rsid w:val="009025D0"/>
    <w:rsid w:val="00AA1F1E"/>
    <w:rsid w:val="00B14C19"/>
    <w:rsid w:val="00B212CA"/>
    <w:rsid w:val="00B7076D"/>
    <w:rsid w:val="00C930E8"/>
    <w:rsid w:val="00F526CC"/>
  </w:rsids>
  <m:mathPr>
    <m:mathFont m:val="MS Minch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page number" w:uiPriority="99"/>
  </w:latentStyles>
  <w:style w:type="paragraph" w:default="1" w:styleId="Normal">
    <w:name w:val="Normal"/>
    <w:qFormat/>
    <w:rsid w:val="00EC3B1E"/>
    <w:rPr>
      <w:color w:val="548DD4" w:themeColor="text2" w:themeTint="99"/>
    </w:rPr>
  </w:style>
  <w:style w:type="paragraph" w:styleId="Heading1">
    <w:name w:val="heading 1"/>
    <w:aliases w:val="Poza Heading 1"/>
    <w:basedOn w:val="Normal"/>
    <w:next w:val="Normal"/>
    <w:link w:val="Heading1Char"/>
    <w:autoRedefine/>
    <w:qFormat/>
    <w:rsid w:val="0008086E"/>
    <w:pPr>
      <w:keepNext/>
      <w:spacing w:after="240"/>
      <w:outlineLvl w:val="0"/>
    </w:pPr>
    <w:rPr>
      <w:rFonts w:ascii="Zona Pro Black" w:eastAsiaTheme="majorEastAsia" w:hAnsi="Zona Pro Black" w:cstheme="majorBidi"/>
      <w:bCs/>
      <w:color w:val="auto"/>
      <w:kern w:val="32"/>
      <w:sz w:val="28"/>
      <w:szCs w:val="32"/>
    </w:rPr>
  </w:style>
  <w:style w:type="paragraph" w:styleId="Heading2">
    <w:name w:val="heading 2"/>
    <w:aliases w:val="Poza Heading 2"/>
    <w:basedOn w:val="Heading1"/>
    <w:next w:val="Normal"/>
    <w:link w:val="Heading2Char"/>
    <w:autoRedefine/>
    <w:unhideWhenUsed/>
    <w:qFormat/>
    <w:rsid w:val="0008086E"/>
    <w:pPr>
      <w:spacing w:after="120"/>
      <w:outlineLvl w:val="1"/>
    </w:pPr>
    <w:rPr>
      <w:rFonts w:ascii="Zona Pro Regular Italic" w:hAnsi="Zona Pro Regular Italic"/>
      <w:bCs w:val="0"/>
      <w:iCs/>
      <w:sz w:val="24"/>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autoRedefine/>
    <w:uiPriority w:val="1"/>
    <w:qFormat/>
    <w:rsid w:val="007A6521"/>
    <w:pPr>
      <w:keepNext/>
      <w:numPr>
        <w:numId w:val="5"/>
      </w:numPr>
      <w:tabs>
        <w:tab w:val="left" w:pos="1599"/>
        <w:tab w:val="left" w:pos="1600"/>
      </w:tabs>
      <w:spacing w:before="120" w:after="120"/>
    </w:pPr>
    <w:rPr>
      <w:rFonts w:ascii="Arial" w:hAnsi="Arial"/>
      <w:szCs w:val="22"/>
      <w:u w:color="000000"/>
    </w:rPr>
  </w:style>
  <w:style w:type="paragraph" w:customStyle="1" w:styleId="POZA1">
    <w:name w:val="POZA 1"/>
    <w:basedOn w:val="TOAHeading"/>
    <w:autoRedefine/>
    <w:qFormat/>
    <w:rsid w:val="00784655"/>
    <w:pPr>
      <w:jc w:val="center"/>
    </w:pPr>
    <w:rPr>
      <w:rFonts w:ascii="Tw Cen MT" w:hAnsi="Tw Cen MT" w:cs="Times New Roman"/>
      <w:color w:val="775F55"/>
      <w:sz w:val="100"/>
      <w:szCs w:val="100"/>
    </w:rPr>
  </w:style>
  <w:style w:type="paragraph" w:styleId="TOAHeading">
    <w:name w:val="toa heading"/>
    <w:basedOn w:val="Normal"/>
    <w:next w:val="Normal"/>
    <w:uiPriority w:val="99"/>
    <w:semiHidden/>
    <w:unhideWhenUsed/>
    <w:rsid w:val="00784655"/>
    <w:pPr>
      <w:spacing w:before="120"/>
    </w:pPr>
    <w:rPr>
      <w:rFonts w:asciiTheme="majorHAnsi" w:eastAsiaTheme="majorEastAsia" w:hAnsiTheme="majorHAnsi" w:cstheme="majorBidi"/>
      <w:b/>
      <w:bCs/>
    </w:rPr>
  </w:style>
  <w:style w:type="paragraph" w:customStyle="1" w:styleId="Style1">
    <w:name w:val="Style1"/>
    <w:basedOn w:val="Heading1"/>
    <w:autoRedefine/>
    <w:qFormat/>
    <w:rsid w:val="00784655"/>
    <w:rPr>
      <w:rFonts w:ascii="Tw Cen MT" w:hAnsi="Tw Cen MT"/>
      <w:color w:val="775F55"/>
      <w:sz w:val="60"/>
      <w:szCs w:val="100"/>
    </w:rPr>
  </w:style>
  <w:style w:type="character" w:customStyle="1" w:styleId="Heading1Char">
    <w:name w:val="Heading 1 Char"/>
    <w:aliases w:val="Poza Heading 1 Char"/>
    <w:basedOn w:val="DefaultParagraphFont"/>
    <w:link w:val="Heading1"/>
    <w:rsid w:val="0008086E"/>
    <w:rPr>
      <w:rFonts w:ascii="Zona Pro Black" w:eastAsiaTheme="majorEastAsia" w:hAnsi="Zona Pro Black" w:cstheme="majorBidi"/>
      <w:bCs/>
      <w:kern w:val="32"/>
      <w:sz w:val="28"/>
      <w:szCs w:val="32"/>
    </w:rPr>
  </w:style>
  <w:style w:type="paragraph" w:customStyle="1" w:styleId="POZA2">
    <w:name w:val="POZA 2"/>
    <w:basedOn w:val="Normal"/>
    <w:autoRedefine/>
    <w:qFormat/>
    <w:rsid w:val="00784655"/>
    <w:pPr>
      <w:spacing w:after="240"/>
    </w:pPr>
    <w:rPr>
      <w:rFonts w:ascii="Tw Cen MT" w:hAnsi="Tw Cen MT" w:cs="Times New Roman"/>
      <w:color w:val="775F55"/>
      <w:sz w:val="60"/>
      <w:szCs w:val="100"/>
    </w:rPr>
  </w:style>
  <w:style w:type="paragraph" w:customStyle="1" w:styleId="PozaParagraph">
    <w:name w:val="Poza Paragraph"/>
    <w:basedOn w:val="Normal"/>
    <w:next w:val="BodyText"/>
    <w:autoRedefine/>
    <w:qFormat/>
    <w:rsid w:val="00784655"/>
    <w:rPr>
      <w:rFonts w:ascii="Tw Cen MT" w:hAnsi="Tw Cen MT" w:cs="Times New Roman"/>
      <w:sz w:val="28"/>
      <w:szCs w:val="27"/>
    </w:rPr>
  </w:style>
  <w:style w:type="paragraph" w:styleId="BodyText">
    <w:name w:val="Body Text"/>
    <w:basedOn w:val="Normal"/>
    <w:link w:val="BodyTextChar"/>
    <w:uiPriority w:val="99"/>
    <w:unhideWhenUsed/>
    <w:rsid w:val="00784655"/>
    <w:pPr>
      <w:numPr>
        <w:numId w:val="13"/>
      </w:numPr>
      <w:spacing w:after="120"/>
    </w:pPr>
  </w:style>
  <w:style w:type="character" w:customStyle="1" w:styleId="BodyTextChar">
    <w:name w:val="Body Text Char"/>
    <w:basedOn w:val="DefaultParagraphFont"/>
    <w:link w:val="BodyText"/>
    <w:uiPriority w:val="99"/>
    <w:rsid w:val="00784655"/>
    <w:rPr>
      <w:color w:val="548DD4" w:themeColor="text2" w:themeTint="99"/>
    </w:rPr>
  </w:style>
  <w:style w:type="paragraph" w:customStyle="1" w:styleId="POZA4">
    <w:name w:val="POZA 4"/>
    <w:basedOn w:val="Normal"/>
    <w:autoRedefine/>
    <w:qFormat/>
    <w:rsid w:val="00784655"/>
    <w:pPr>
      <w:spacing w:after="240"/>
    </w:pPr>
    <w:rPr>
      <w:rFonts w:ascii="Tw Cen MT" w:hAnsi="Tw Cen MT" w:cs="Times New Roman"/>
      <w:color w:val="775F55"/>
      <w:sz w:val="32"/>
      <w:szCs w:val="100"/>
    </w:rPr>
  </w:style>
  <w:style w:type="paragraph" w:customStyle="1" w:styleId="POZAFootnote">
    <w:name w:val="POZA Footnote"/>
    <w:basedOn w:val="PozaParagraph"/>
    <w:autoRedefine/>
    <w:qFormat/>
    <w:rsid w:val="00BB57EB"/>
    <w:rPr>
      <w:sz w:val="20"/>
    </w:rPr>
  </w:style>
  <w:style w:type="paragraph" w:customStyle="1" w:styleId="HLD">
    <w:name w:val="HLD"/>
    <w:basedOn w:val="Normal"/>
    <w:next w:val="Normal"/>
    <w:autoRedefine/>
    <w:qFormat/>
    <w:rsid w:val="00044873"/>
    <w:pPr>
      <w:keepNext/>
      <w:numPr>
        <w:numId w:val="4"/>
      </w:numPr>
      <w:tabs>
        <w:tab w:val="left" w:pos="720"/>
      </w:tabs>
      <w:contextualSpacing/>
    </w:pPr>
    <w:rPr>
      <w:rFonts w:ascii="Arial" w:hAnsi="Arial"/>
      <w:color w:val="auto"/>
    </w:rPr>
  </w:style>
  <w:style w:type="character" w:customStyle="1" w:styleId="Heading2Char">
    <w:name w:val="Heading 2 Char"/>
    <w:aliases w:val="Poza Heading 2 Char"/>
    <w:basedOn w:val="DefaultParagraphFont"/>
    <w:link w:val="Heading2"/>
    <w:rsid w:val="0008086E"/>
    <w:rPr>
      <w:rFonts w:ascii="Zona Pro Regular Italic" w:eastAsiaTheme="majorEastAsia" w:hAnsi="Zona Pro Regular Italic" w:cstheme="majorBidi"/>
      <w:iCs/>
      <w:kern w:val="32"/>
      <w:sz w:val="24"/>
      <w:szCs w:val="28"/>
    </w:rPr>
  </w:style>
  <w:style w:type="paragraph" w:styleId="Header">
    <w:name w:val="header"/>
    <w:basedOn w:val="Normal"/>
    <w:link w:val="HeaderChar"/>
    <w:rsid w:val="00B14C19"/>
    <w:pPr>
      <w:tabs>
        <w:tab w:val="center" w:pos="4320"/>
        <w:tab w:val="right" w:pos="8640"/>
      </w:tabs>
    </w:pPr>
  </w:style>
  <w:style w:type="character" w:customStyle="1" w:styleId="HeaderChar">
    <w:name w:val="Header Char"/>
    <w:basedOn w:val="DefaultParagraphFont"/>
    <w:link w:val="Header"/>
    <w:rsid w:val="00B14C19"/>
    <w:rPr>
      <w:color w:val="548DD4" w:themeColor="text2" w:themeTint="99"/>
    </w:rPr>
  </w:style>
  <w:style w:type="paragraph" w:styleId="Footer">
    <w:name w:val="footer"/>
    <w:basedOn w:val="Normal"/>
    <w:link w:val="FooterChar"/>
    <w:rsid w:val="00B14C19"/>
    <w:pPr>
      <w:tabs>
        <w:tab w:val="center" w:pos="4320"/>
        <w:tab w:val="right" w:pos="8640"/>
      </w:tabs>
    </w:pPr>
  </w:style>
  <w:style w:type="character" w:customStyle="1" w:styleId="FooterChar">
    <w:name w:val="Footer Char"/>
    <w:basedOn w:val="DefaultParagraphFont"/>
    <w:link w:val="Footer"/>
    <w:rsid w:val="00B14C19"/>
    <w:rPr>
      <w:color w:val="548DD4" w:themeColor="text2" w:themeTint="99"/>
    </w:rPr>
  </w:style>
  <w:style w:type="character" w:styleId="PageNumber">
    <w:name w:val="page number"/>
    <w:basedOn w:val="DefaultParagraphFont"/>
    <w:uiPriority w:val="99"/>
    <w:unhideWhenUsed/>
    <w:rsid w:val="0036082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854</Words>
  <Characters>4538</Characters>
  <Application>Microsoft Macintosh Word</Application>
  <DocSecurity>0</DocSecurity>
  <Lines>102</Lines>
  <Paragraphs>55</Paragraphs>
  <ScaleCrop>false</ScaleCrop>
  <HeadingPairs>
    <vt:vector size="2" baseType="variant">
      <vt:variant>
        <vt:lpstr>Title</vt:lpstr>
      </vt:variant>
      <vt:variant>
        <vt:i4>1</vt:i4>
      </vt:variant>
    </vt:vector>
  </HeadingPairs>
  <TitlesOfParts>
    <vt:vector size="1" baseType="lpstr">
      <vt:lpstr/>
    </vt:vector>
  </TitlesOfParts>
  <Manager>Appalenia Udell</Manager>
  <Company>Poza, Inc.</Company>
  <LinksUpToDate>false</LinksUpToDate>
  <CharactersWithSpaces>5346</CharactersWithSpaces>
  <SharedDoc>false</SharedDoc>
  <HyperlinkBase>https://www.pozanetwork.com/freeresources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Policy &amp; Procedure for Management of Personal Protected Information</dc:title>
  <dc:subject>PRivacy</dc:subject>
  <dc:creator>Appalenia Udell</dc:creator>
  <cp:keywords>HIPAA, PPI, Privacy</cp:keywords>
  <dc:description>This document is a sample only.  Before adopting any policy or procedure consult your attorney for conformity with relevant law.</dc:description>
  <cp:lastModifiedBy>Appalenia Udell</cp:lastModifiedBy>
  <cp:revision>5</cp:revision>
  <cp:lastPrinted>2019-01-25T00:35:00Z</cp:lastPrinted>
  <dcterms:created xsi:type="dcterms:W3CDTF">2019-01-24T20:27:00Z</dcterms:created>
  <dcterms:modified xsi:type="dcterms:W3CDTF">2019-01-29T22:00:00Z</dcterms:modified>
  <cp:category>Policies &amp; Procedures</cp:category>
</cp:coreProperties>
</file>